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D8" w:rsidRDefault="007E49D8" w:rsidP="00E14D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36" w:rsidRPr="00062202" w:rsidRDefault="009F1B8D" w:rsidP="00E14D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202">
        <w:rPr>
          <w:rFonts w:ascii="Times New Roman" w:hAnsi="Times New Roman" w:cs="Times New Roman"/>
          <w:b/>
          <w:bCs/>
          <w:sz w:val="24"/>
          <w:szCs w:val="24"/>
        </w:rPr>
        <w:t>Основные положения учетной политики</w:t>
      </w:r>
      <w:r w:rsidR="00540636" w:rsidRPr="0006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1B8D" w:rsidRPr="00062202" w:rsidRDefault="00167BF6" w:rsidP="00E14D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202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учреждения здравоохранения Самарской области «</w:t>
      </w:r>
      <w:proofErr w:type="spellStart"/>
      <w:r w:rsidRPr="00062202">
        <w:rPr>
          <w:rFonts w:ascii="Times New Roman" w:hAnsi="Times New Roman" w:cs="Times New Roman"/>
          <w:b/>
          <w:bCs/>
          <w:sz w:val="24"/>
          <w:szCs w:val="24"/>
        </w:rPr>
        <w:t>Новокуйбышевская</w:t>
      </w:r>
      <w:proofErr w:type="spellEnd"/>
      <w:r w:rsidRPr="00062202">
        <w:rPr>
          <w:rFonts w:ascii="Times New Roman" w:hAnsi="Times New Roman" w:cs="Times New Roman"/>
          <w:b/>
          <w:bCs/>
          <w:sz w:val="24"/>
          <w:szCs w:val="24"/>
        </w:rPr>
        <w:t xml:space="preserve"> стоматологическая поликлиника»</w:t>
      </w:r>
    </w:p>
    <w:p w:rsidR="009F1B8D" w:rsidRPr="00062202" w:rsidRDefault="009F1B8D" w:rsidP="00E14D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Учетная политика государственного бюджетного учреждения здравоохранения Самарской области «</w:t>
      </w:r>
      <w:proofErr w:type="spellStart"/>
      <w:r w:rsidRPr="000263B7">
        <w:rPr>
          <w:rFonts w:ascii="Times New Roman" w:hAnsi="Times New Roman"/>
          <w:sz w:val="24"/>
          <w:szCs w:val="24"/>
        </w:rPr>
        <w:t>Новокуйбышевская</w:t>
      </w:r>
      <w:proofErr w:type="spellEnd"/>
      <w:r w:rsidRPr="000263B7">
        <w:rPr>
          <w:rFonts w:ascii="Times New Roman" w:hAnsi="Times New Roman"/>
          <w:sz w:val="24"/>
          <w:szCs w:val="24"/>
        </w:rPr>
        <w:t xml:space="preserve"> стоматологическая поликлиника» (далее ГБУЗ СО «НСП») разработана для целей бухгалтерского </w:t>
      </w:r>
      <w:r>
        <w:rPr>
          <w:rFonts w:ascii="Times New Roman" w:hAnsi="Times New Roman"/>
          <w:sz w:val="24"/>
          <w:szCs w:val="24"/>
        </w:rPr>
        <w:t>(</w:t>
      </w:r>
      <w:r w:rsidRPr="000263B7">
        <w:rPr>
          <w:rFonts w:ascii="Times New Roman" w:hAnsi="Times New Roman"/>
          <w:sz w:val="24"/>
          <w:szCs w:val="24"/>
        </w:rPr>
        <w:t>бюджетного</w:t>
      </w:r>
      <w:r>
        <w:rPr>
          <w:rFonts w:ascii="Times New Roman" w:hAnsi="Times New Roman"/>
          <w:sz w:val="24"/>
          <w:szCs w:val="24"/>
        </w:rPr>
        <w:t>)</w:t>
      </w:r>
      <w:r w:rsidRPr="000263B7">
        <w:rPr>
          <w:rFonts w:ascii="Times New Roman" w:hAnsi="Times New Roman"/>
          <w:sz w:val="24"/>
          <w:szCs w:val="24"/>
        </w:rPr>
        <w:t xml:space="preserve"> учета, предназначена для формирования полной и достоверной информации о финансовом, имущественном положении и финансовых результатах деятельности учреждения и ведется в соответствии со следующими нормативными правовыми актами: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9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Бюджетным кодексом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10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Налоговым</w:t>
        </w:r>
      </w:hyperlink>
      <w:r w:rsidRPr="000263B7">
        <w:rPr>
          <w:rFonts w:ascii="Times New Roman" w:hAnsi="Times New Roman"/>
          <w:color w:val="0000FF"/>
          <w:sz w:val="24"/>
          <w:szCs w:val="24"/>
        </w:rPr>
        <w:t xml:space="preserve"> кодексом</w:t>
      </w:r>
      <w:r w:rsidRPr="000263B7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11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законом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от 06.12.2011 N 402-ФЗ "О бухгалтерском учете" (далее - Закон N402-ФЗ);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12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законом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13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законом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от 12.01.1996 N 7-ФЗ "О некоммерческих организациях";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14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стандартом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утвержденным </w:t>
      </w:r>
      <w:hyperlink r:id="rId15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31.12.2016 N 256н;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16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стандартом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"Основные средства", утвержденным </w:t>
      </w:r>
      <w:hyperlink r:id="rId17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31.12.2016 N 257н;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18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стандартом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"Аренда", утвержденным </w:t>
      </w:r>
      <w:hyperlink r:id="rId19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31.12.2016 N 258н;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20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стандартом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"Обесценение активов", утвержденным </w:t>
      </w:r>
      <w:hyperlink r:id="rId21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31.12.2016 N259н;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22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стандартом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утвержденным </w:t>
      </w:r>
      <w:hyperlink r:id="rId23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31.12.2016 N 260н;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24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стандартом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"Отчет о движении денежных средств", утвержденным </w:t>
      </w:r>
      <w:hyperlink r:id="rId25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30.12.2017 N278н;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26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стандартом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"Доходы", утвержденным </w:t>
      </w:r>
      <w:hyperlink r:id="rId27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27.02.2018 N 32н;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lastRenderedPageBreak/>
        <w:t>- </w:t>
      </w:r>
      <w:hyperlink r:id="rId28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федеральным стандартом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"События после отчетной даты", утвержденным </w:t>
      </w:r>
      <w:hyperlink r:id="rId29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30.12.2017 N 275н;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30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Инструкцией</w:t>
        </w:r>
      </w:hyperlink>
      <w:r w:rsidRPr="000263B7">
        <w:rPr>
          <w:rFonts w:ascii="Times New Roman" w:hAnsi="Times New Roman"/>
          <w:sz w:val="24"/>
          <w:szCs w:val="24"/>
        </w:rPr>
        <w:t xml:space="preserve"> по применению единого </w:t>
      </w:r>
      <w:hyperlink r:id="rId31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плана счетов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32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01.12.2010 N 157н (далее - Инструкции N 157н);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33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Инструкцией</w:t>
        </w:r>
      </w:hyperlink>
      <w:r w:rsidRPr="000263B7">
        <w:rPr>
          <w:rFonts w:ascii="Times New Roman" w:hAnsi="Times New Roman"/>
          <w:sz w:val="24"/>
          <w:szCs w:val="24"/>
        </w:rPr>
        <w:t xml:space="preserve"> по применению </w:t>
      </w:r>
      <w:hyperlink r:id="rId34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плана счетов</w:t>
        </w:r>
      </w:hyperlink>
      <w:r w:rsidRPr="000263B7">
        <w:rPr>
          <w:rFonts w:ascii="Times New Roman" w:hAnsi="Times New Roman"/>
          <w:sz w:val="24"/>
          <w:szCs w:val="24"/>
        </w:rPr>
        <w:t xml:space="preserve"> бухгалтерского учета бюджетных учреждений, утвержденной </w:t>
      </w:r>
      <w:hyperlink r:id="rId35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16.12.2010 N 174н (далее - Инструкция N 174н);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</w:t>
      </w:r>
      <w:hyperlink r:id="rId36" w:history="1">
        <w:r w:rsidRPr="000263B7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0263B7">
        <w:rPr>
          <w:rFonts w:ascii="Times New Roman" w:hAnsi="Times New Roman"/>
          <w:sz w:val="24"/>
          <w:szCs w:val="24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0263B7" w:rsidRPr="000263B7" w:rsidRDefault="000263B7" w:rsidP="00E14D87">
      <w:pPr>
        <w:pStyle w:val="af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proofErr w:type="gramStart"/>
      <w:r w:rsidRPr="000263B7">
        <w:rPr>
          <w:color w:val="0000FF"/>
          <w:sz w:val="24"/>
          <w:szCs w:val="24"/>
        </w:rPr>
        <w:t>- приказом</w:t>
      </w:r>
      <w:r w:rsidRPr="000263B7">
        <w:rPr>
          <w:sz w:val="24"/>
          <w:szCs w:val="24"/>
        </w:rPr>
        <w:t xml:space="preserve"> Минфина России от 31.03.2018 № 64н </w:t>
      </w:r>
      <w:hyperlink r:id="rId37" w:history="1">
        <w:r w:rsidRPr="000263B7">
          <w:rPr>
            <w:rStyle w:val="af6"/>
            <w:color w:val="auto"/>
            <w:sz w:val="24"/>
            <w:szCs w:val="24"/>
            <w:u w:val="none"/>
          </w:rPr>
          <w:t>«О внесении изменений в приложения №1 и № 2 к приказу Министерства финансов Российской Федерации от 1 декабря 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</w:r>
      </w:hyperlink>
      <w:r w:rsidRPr="000263B7">
        <w:rPr>
          <w:sz w:val="24"/>
          <w:szCs w:val="24"/>
        </w:rPr>
        <w:t xml:space="preserve"> (далее  - Приказ</w:t>
      </w:r>
      <w:proofErr w:type="gramEnd"/>
      <w:r w:rsidRPr="000263B7">
        <w:rPr>
          <w:sz w:val="24"/>
          <w:szCs w:val="24"/>
        </w:rPr>
        <w:t xml:space="preserve"> № </w:t>
      </w:r>
      <w:proofErr w:type="gramStart"/>
      <w:r w:rsidRPr="000263B7">
        <w:rPr>
          <w:sz w:val="24"/>
          <w:szCs w:val="24"/>
        </w:rPr>
        <w:t>64н);</w:t>
      </w:r>
      <w:proofErr w:type="gramEnd"/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color w:val="0000FF"/>
          <w:sz w:val="24"/>
          <w:szCs w:val="24"/>
        </w:rPr>
        <w:t>- приказом</w:t>
      </w:r>
      <w:r w:rsidRPr="000263B7">
        <w:rPr>
          <w:rFonts w:ascii="Times New Roman" w:hAnsi="Times New Roman"/>
          <w:sz w:val="24"/>
          <w:szCs w:val="24"/>
        </w:rPr>
        <w:t xml:space="preserve"> Минфина России от 31.03.2018 №66н «О внесении изменений в приложения к приказу Министерства финансов Российской Федерации от 16.12.2010 г.№174н «Об утверждении плана счетов бухгалтерского учета бюджетных учреждений и инструкции по его применению» (далее  - Приказ № 66н);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B7">
        <w:rPr>
          <w:rFonts w:ascii="Times New Roman" w:hAnsi="Times New Roman"/>
          <w:color w:val="0000FF"/>
          <w:sz w:val="24"/>
          <w:szCs w:val="24"/>
        </w:rPr>
        <w:t>- приказом</w:t>
      </w:r>
      <w:r w:rsidRPr="000263B7">
        <w:rPr>
          <w:rFonts w:ascii="Times New Roman" w:hAnsi="Times New Roman" w:cs="Times New Roman"/>
          <w:sz w:val="24"/>
          <w:szCs w:val="24"/>
        </w:rPr>
        <w:t xml:space="preserve"> Мин</w:t>
      </w:r>
      <w:r w:rsidRPr="000263B7">
        <w:rPr>
          <w:rFonts w:ascii="Times New Roman" w:hAnsi="Times New Roman"/>
          <w:sz w:val="24"/>
          <w:szCs w:val="24"/>
        </w:rPr>
        <w:t>фина</w:t>
      </w:r>
      <w:r w:rsidRPr="000263B7">
        <w:rPr>
          <w:rFonts w:ascii="Times New Roman" w:hAnsi="Times New Roman" w:cs="Times New Roman"/>
          <w:sz w:val="24"/>
          <w:szCs w:val="24"/>
        </w:rPr>
        <w:t xml:space="preserve">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0263B7">
        <w:rPr>
          <w:rFonts w:ascii="Times New Roman" w:hAnsi="Times New Roman"/>
          <w:sz w:val="24"/>
          <w:szCs w:val="24"/>
        </w:rPr>
        <w:t xml:space="preserve"> (далее  - Приказ № 191н)</w:t>
      </w:r>
      <w:r w:rsidRPr="000263B7">
        <w:rPr>
          <w:rFonts w:ascii="Times New Roman" w:hAnsi="Times New Roman" w:cs="Times New Roman"/>
          <w:sz w:val="24"/>
          <w:szCs w:val="24"/>
        </w:rPr>
        <w:t>;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 xml:space="preserve"> </w:t>
      </w:r>
      <w:r w:rsidRPr="000263B7">
        <w:rPr>
          <w:rFonts w:ascii="Times New Roman" w:hAnsi="Times New Roman"/>
          <w:color w:val="0000FF"/>
          <w:sz w:val="24"/>
          <w:szCs w:val="24"/>
        </w:rPr>
        <w:t>- приказом</w:t>
      </w:r>
      <w:r w:rsidRPr="000263B7">
        <w:rPr>
          <w:rFonts w:ascii="Times New Roman" w:hAnsi="Times New Roman"/>
          <w:sz w:val="24"/>
          <w:szCs w:val="24"/>
        </w:rPr>
        <w:t xml:space="preserve"> Минфина России от 29.11.2017 №209н «Об утверждении </w:t>
      </w:r>
      <w:proofErr w:type="gramStart"/>
      <w:r w:rsidRPr="000263B7">
        <w:rPr>
          <w:rFonts w:ascii="Times New Roman" w:hAnsi="Times New Roman"/>
          <w:sz w:val="24"/>
          <w:szCs w:val="24"/>
        </w:rPr>
        <w:t>Порядка применения классификации операций сектора государственного</w:t>
      </w:r>
      <w:proofErr w:type="gramEnd"/>
      <w:r w:rsidRPr="000263B7">
        <w:rPr>
          <w:rFonts w:ascii="Times New Roman" w:hAnsi="Times New Roman"/>
          <w:sz w:val="24"/>
          <w:szCs w:val="24"/>
        </w:rPr>
        <w:t xml:space="preserve"> управления» (далее  - Приказ №209н); </w:t>
      </w:r>
    </w:p>
    <w:p w:rsidR="000263B7" w:rsidRPr="000263B7" w:rsidRDefault="000263B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3B7">
        <w:rPr>
          <w:rFonts w:ascii="Times New Roman" w:hAnsi="Times New Roman"/>
          <w:sz w:val="24"/>
          <w:szCs w:val="24"/>
        </w:rPr>
        <w:t>- иными нормативными правовыми актами, регулирующими вопросы организации и ведения бухгалтерского</w:t>
      </w:r>
      <w:r>
        <w:rPr>
          <w:rFonts w:ascii="Times New Roman" w:hAnsi="Times New Roman"/>
          <w:sz w:val="24"/>
          <w:szCs w:val="24"/>
        </w:rPr>
        <w:t xml:space="preserve"> (бюджетного)</w:t>
      </w:r>
      <w:r w:rsidRPr="000263B7">
        <w:rPr>
          <w:rFonts w:ascii="Times New Roman" w:hAnsi="Times New Roman"/>
          <w:sz w:val="24"/>
          <w:szCs w:val="24"/>
        </w:rPr>
        <w:t xml:space="preserve"> учета.</w:t>
      </w:r>
    </w:p>
    <w:p w:rsidR="00AF40D2" w:rsidRPr="00AF40D2" w:rsidRDefault="00AF40D2" w:rsidP="00AF40D2">
      <w:pPr>
        <w:pStyle w:val="af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0D2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ведения бюджетного учета в </w:t>
      </w:r>
      <w:r>
        <w:rPr>
          <w:rFonts w:ascii="Times New Roman" w:hAnsi="Times New Roman" w:cs="Times New Roman"/>
          <w:sz w:val="24"/>
          <w:szCs w:val="24"/>
        </w:rPr>
        <w:t>ГБУЗ СО «НСП»</w:t>
      </w:r>
      <w:r w:rsidRPr="00AF40D2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главный врач.</w:t>
      </w:r>
    </w:p>
    <w:p w:rsidR="0054327E" w:rsidRPr="0010722A" w:rsidRDefault="0054327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22A">
        <w:rPr>
          <w:rFonts w:ascii="Times New Roman" w:hAnsi="Times New Roman"/>
          <w:sz w:val="24"/>
          <w:szCs w:val="24"/>
        </w:rPr>
        <w:t xml:space="preserve">Ведение бухгалтерского учета в ГБУЗ СО «НСП» осуществлять бухгалтерской службой. </w:t>
      </w:r>
    </w:p>
    <w:p w:rsidR="0054327E" w:rsidRPr="0010722A" w:rsidRDefault="0054327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22A">
        <w:rPr>
          <w:rFonts w:ascii="Times New Roman" w:hAnsi="Times New Roman"/>
          <w:sz w:val="24"/>
          <w:szCs w:val="24"/>
        </w:rPr>
        <w:t>Организацию учетной работы и распределение ее объема осуществляет главный бухгалтер.</w:t>
      </w:r>
    </w:p>
    <w:p w:rsidR="0054327E" w:rsidRPr="0010722A" w:rsidRDefault="0054327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0722A">
        <w:rPr>
          <w:rFonts w:ascii="Times New Roman" w:hAnsi="Times New Roman"/>
          <w:sz w:val="24"/>
          <w:szCs w:val="24"/>
        </w:rPr>
        <w:lastRenderedPageBreak/>
        <w:t>Главный бухгалтер подчиняется руководителю ГБУЗ СО «НСП» - главному врачу.</w:t>
      </w:r>
    </w:p>
    <w:p w:rsidR="00B05451" w:rsidRPr="00A032EE" w:rsidRDefault="0010722A" w:rsidP="00E14D8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2EE">
        <w:rPr>
          <w:rFonts w:ascii="Times New Roman" w:hAnsi="Times New Roman" w:cs="Times New Roman"/>
          <w:sz w:val="24"/>
          <w:szCs w:val="24"/>
        </w:rPr>
        <w:t>ГБУЗ СО «НСП»</w:t>
      </w:r>
      <w:r w:rsidR="00B05451" w:rsidRPr="00A032EE">
        <w:rPr>
          <w:rFonts w:ascii="Times New Roman" w:hAnsi="Times New Roman" w:cs="Times New Roman"/>
          <w:sz w:val="24"/>
          <w:szCs w:val="24"/>
        </w:rPr>
        <w:t xml:space="preserve"> ведет б</w:t>
      </w:r>
      <w:r w:rsidR="00BE5D41" w:rsidRPr="00A032EE">
        <w:rPr>
          <w:rFonts w:ascii="Times New Roman" w:hAnsi="Times New Roman" w:cs="Times New Roman"/>
          <w:sz w:val="24"/>
          <w:szCs w:val="24"/>
        </w:rPr>
        <w:t>юджетный</w:t>
      </w:r>
      <w:r w:rsidR="00B05451" w:rsidRPr="00A032EE">
        <w:rPr>
          <w:rFonts w:ascii="Times New Roman" w:hAnsi="Times New Roman" w:cs="Times New Roman"/>
          <w:sz w:val="24"/>
          <w:szCs w:val="24"/>
        </w:rPr>
        <w:t xml:space="preserve"> учет на основе </w:t>
      </w:r>
      <w:r w:rsidR="0038256E" w:rsidRPr="00A032EE">
        <w:rPr>
          <w:rFonts w:ascii="Times New Roman" w:hAnsi="Times New Roman" w:cs="Times New Roman"/>
          <w:sz w:val="24"/>
          <w:szCs w:val="24"/>
        </w:rPr>
        <w:t>Е</w:t>
      </w:r>
      <w:r w:rsidR="00B05451" w:rsidRPr="00A032EE">
        <w:rPr>
          <w:rFonts w:ascii="Times New Roman" w:hAnsi="Times New Roman" w:cs="Times New Roman"/>
          <w:sz w:val="24"/>
          <w:szCs w:val="24"/>
        </w:rPr>
        <w:t>диного плана счетов бухгалтерского учета для органов государственной власти</w:t>
      </w:r>
      <w:r w:rsidR="0038256E" w:rsidRPr="00A032EE">
        <w:rPr>
          <w:rFonts w:ascii="Times New Roman" w:hAnsi="Times New Roman" w:cs="Times New Roman"/>
          <w:sz w:val="24"/>
          <w:szCs w:val="24"/>
        </w:rPr>
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утвержденного</w:t>
      </w:r>
      <w:r w:rsidR="00B05451" w:rsidRPr="00A032EE">
        <w:rPr>
          <w:rFonts w:ascii="Times New Roman" w:hAnsi="Times New Roman" w:cs="Times New Roman"/>
          <w:sz w:val="24"/>
          <w:szCs w:val="24"/>
        </w:rPr>
        <w:t xml:space="preserve"> </w:t>
      </w:r>
      <w:r w:rsidR="00165406" w:rsidRPr="00A032EE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01.12.2010 № 157н</w:t>
      </w:r>
      <w:r w:rsidR="004B7162" w:rsidRPr="00A032EE">
        <w:rPr>
          <w:rFonts w:ascii="Times New Roman" w:hAnsi="Times New Roman" w:cs="Times New Roman"/>
          <w:sz w:val="24"/>
          <w:szCs w:val="24"/>
        </w:rPr>
        <w:t>,</w:t>
      </w:r>
      <w:r w:rsidR="00165406" w:rsidRPr="00A032EE">
        <w:rPr>
          <w:rFonts w:ascii="Times New Roman" w:hAnsi="Times New Roman" w:cs="Times New Roman"/>
          <w:sz w:val="24"/>
          <w:szCs w:val="24"/>
        </w:rPr>
        <w:t xml:space="preserve"> </w:t>
      </w:r>
      <w:r w:rsidR="00A46B53" w:rsidRPr="00A032EE">
        <w:rPr>
          <w:rFonts w:ascii="Times New Roman" w:hAnsi="Times New Roman" w:cs="Times New Roman"/>
          <w:sz w:val="24"/>
          <w:szCs w:val="24"/>
        </w:rPr>
        <w:t xml:space="preserve">и </w:t>
      </w:r>
      <w:r w:rsidR="00165406" w:rsidRPr="00A032EE">
        <w:rPr>
          <w:rFonts w:ascii="Times New Roman" w:hAnsi="Times New Roman" w:cs="Times New Roman"/>
          <w:sz w:val="24"/>
          <w:szCs w:val="24"/>
        </w:rPr>
        <w:t>План</w:t>
      </w:r>
      <w:r w:rsidR="004B7162" w:rsidRPr="00A032EE">
        <w:rPr>
          <w:rFonts w:ascii="Times New Roman" w:hAnsi="Times New Roman" w:cs="Times New Roman"/>
          <w:sz w:val="24"/>
          <w:szCs w:val="24"/>
        </w:rPr>
        <w:t>а</w:t>
      </w:r>
      <w:r w:rsidR="00165406" w:rsidRPr="00A032EE">
        <w:rPr>
          <w:rFonts w:ascii="Times New Roman" w:hAnsi="Times New Roman" w:cs="Times New Roman"/>
          <w:sz w:val="24"/>
          <w:szCs w:val="24"/>
        </w:rPr>
        <w:t xml:space="preserve"> счетов бюджетного учета, утвержденн</w:t>
      </w:r>
      <w:r w:rsidR="004B7162" w:rsidRPr="00A032EE">
        <w:rPr>
          <w:rFonts w:ascii="Times New Roman" w:hAnsi="Times New Roman" w:cs="Times New Roman"/>
          <w:sz w:val="24"/>
          <w:szCs w:val="24"/>
        </w:rPr>
        <w:t>ого</w:t>
      </w:r>
      <w:r w:rsidR="00165406" w:rsidRPr="00A032EE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06.12.2010 № 162н</w:t>
      </w:r>
      <w:r w:rsidR="004B7162" w:rsidRPr="00A032EE">
        <w:rPr>
          <w:rFonts w:ascii="Times New Roman" w:hAnsi="Times New Roman" w:cs="Times New Roman"/>
          <w:sz w:val="24"/>
          <w:szCs w:val="24"/>
        </w:rPr>
        <w:t>, и с учетом требований</w:t>
      </w:r>
      <w:proofErr w:type="gramEnd"/>
      <w:r w:rsidR="004B7162" w:rsidRPr="00A032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7162" w:rsidRPr="00A032E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4B7162" w:rsidRPr="00A032EE">
        <w:rPr>
          <w:rFonts w:ascii="Times New Roman" w:hAnsi="Times New Roman" w:cs="Times New Roman"/>
          <w:sz w:val="24"/>
          <w:szCs w:val="24"/>
        </w:rPr>
        <w:t xml:space="preserve"> Инструкцией № 157н и Инструкцией № 162н</w:t>
      </w:r>
      <w:r w:rsidR="00B05451" w:rsidRPr="00A032EE">
        <w:rPr>
          <w:rFonts w:ascii="Times New Roman" w:hAnsi="Times New Roman" w:cs="Times New Roman"/>
          <w:sz w:val="24"/>
          <w:szCs w:val="24"/>
        </w:rPr>
        <w:t>. Для целей б</w:t>
      </w:r>
      <w:r w:rsidR="00EB52FD" w:rsidRPr="00A032EE">
        <w:rPr>
          <w:rFonts w:ascii="Times New Roman" w:hAnsi="Times New Roman" w:cs="Times New Roman"/>
          <w:sz w:val="24"/>
          <w:szCs w:val="24"/>
        </w:rPr>
        <w:t>юджетного</w:t>
      </w:r>
      <w:r w:rsidR="008C6E11" w:rsidRPr="00A032EE">
        <w:rPr>
          <w:rFonts w:ascii="Times New Roman" w:hAnsi="Times New Roman" w:cs="Times New Roman"/>
          <w:sz w:val="24"/>
          <w:szCs w:val="24"/>
        </w:rPr>
        <w:t xml:space="preserve"> учета </w:t>
      </w:r>
      <w:r w:rsidRPr="00A032EE">
        <w:rPr>
          <w:rFonts w:ascii="Times New Roman" w:hAnsi="Times New Roman" w:cs="Times New Roman"/>
          <w:sz w:val="24"/>
          <w:szCs w:val="24"/>
        </w:rPr>
        <w:t>учреждением</w:t>
      </w:r>
      <w:r w:rsidR="00B05451" w:rsidRPr="00A032EE">
        <w:rPr>
          <w:rFonts w:ascii="Times New Roman" w:hAnsi="Times New Roman" w:cs="Times New Roman"/>
          <w:sz w:val="24"/>
          <w:szCs w:val="24"/>
        </w:rPr>
        <w:t xml:space="preserve"> применяется Рабочий п</w:t>
      </w:r>
      <w:r w:rsidR="00FC7924" w:rsidRPr="00A032EE">
        <w:rPr>
          <w:rFonts w:ascii="Times New Roman" w:hAnsi="Times New Roman" w:cs="Times New Roman"/>
          <w:sz w:val="24"/>
          <w:szCs w:val="24"/>
        </w:rPr>
        <w:t xml:space="preserve">лан счетов </w:t>
      </w:r>
      <w:r w:rsidR="00457D08" w:rsidRPr="00A032EE">
        <w:rPr>
          <w:rFonts w:ascii="Times New Roman" w:hAnsi="Times New Roman" w:cs="Times New Roman"/>
          <w:sz w:val="24"/>
          <w:szCs w:val="24"/>
        </w:rPr>
        <w:t>бюджетного</w:t>
      </w:r>
      <w:r w:rsidR="00457D08" w:rsidRPr="00A03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7162" w:rsidRPr="00A032EE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="004B7162" w:rsidRPr="00A032EE">
        <w:rPr>
          <w:rFonts w:ascii="Times New Roman" w:hAnsi="Times New Roman" w:cs="Times New Roman"/>
          <w:sz w:val="24"/>
          <w:szCs w:val="24"/>
        </w:rPr>
        <w:t xml:space="preserve"> </w:t>
      </w:r>
      <w:r w:rsidR="008C6E11" w:rsidRPr="00A032EE">
        <w:rPr>
          <w:rFonts w:ascii="Times New Roman" w:hAnsi="Times New Roman" w:cs="Times New Roman"/>
          <w:sz w:val="24"/>
          <w:szCs w:val="24"/>
        </w:rPr>
        <w:t>являющийся</w:t>
      </w:r>
      <w:r w:rsidR="00FC7924" w:rsidRPr="00A032E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C6E11" w:rsidRPr="00A032EE">
        <w:rPr>
          <w:rFonts w:ascii="Times New Roman" w:hAnsi="Times New Roman" w:cs="Times New Roman"/>
          <w:sz w:val="24"/>
          <w:szCs w:val="24"/>
        </w:rPr>
        <w:t>ем</w:t>
      </w:r>
      <w:r w:rsidR="00B05451" w:rsidRPr="00A032EE">
        <w:rPr>
          <w:rFonts w:ascii="Times New Roman" w:hAnsi="Times New Roman" w:cs="Times New Roman"/>
          <w:sz w:val="24"/>
          <w:szCs w:val="24"/>
        </w:rPr>
        <w:t xml:space="preserve"> к у</w:t>
      </w:r>
      <w:r w:rsidR="00BE5D41" w:rsidRPr="00A032EE">
        <w:rPr>
          <w:rFonts w:ascii="Times New Roman" w:hAnsi="Times New Roman" w:cs="Times New Roman"/>
          <w:sz w:val="24"/>
          <w:szCs w:val="24"/>
        </w:rPr>
        <w:t>четной политике</w:t>
      </w:r>
      <w:r w:rsidR="00B05451" w:rsidRPr="00A03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09E" w:rsidRPr="00A032EE" w:rsidRDefault="0095609E" w:rsidP="00E14D8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EE">
        <w:rPr>
          <w:rFonts w:ascii="Times New Roman" w:hAnsi="Times New Roman" w:cs="Times New Roman"/>
          <w:sz w:val="24"/>
          <w:szCs w:val="24"/>
        </w:rPr>
        <w:t xml:space="preserve">Рабочий план счетов </w:t>
      </w:r>
      <w:r w:rsidR="008210B1" w:rsidRPr="00A032E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A032EE">
        <w:rPr>
          <w:rFonts w:ascii="Times New Roman" w:hAnsi="Times New Roman" w:cs="Times New Roman"/>
          <w:sz w:val="24"/>
          <w:szCs w:val="24"/>
        </w:rPr>
        <w:t xml:space="preserve">учета содержит применяемые счета бюджетного учета для ведения синтетического и аналитического учета с применением </w:t>
      </w:r>
      <w:proofErr w:type="gramStart"/>
      <w:r w:rsidRPr="00A032EE">
        <w:rPr>
          <w:rFonts w:ascii="Times New Roman" w:hAnsi="Times New Roman" w:cs="Times New Roman"/>
          <w:sz w:val="24"/>
          <w:szCs w:val="24"/>
        </w:rPr>
        <w:t>особенностей формирования номера счета плана</w:t>
      </w:r>
      <w:proofErr w:type="gramEnd"/>
      <w:r w:rsidRPr="00A032EE">
        <w:rPr>
          <w:rFonts w:ascii="Times New Roman" w:hAnsi="Times New Roman" w:cs="Times New Roman"/>
          <w:sz w:val="24"/>
          <w:szCs w:val="24"/>
        </w:rPr>
        <w:t xml:space="preserve"> счетов, предусмотренных Инструкцией № 157н.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sz w:val="24"/>
          <w:szCs w:val="24"/>
        </w:rPr>
        <w:t>Формировать структуру рабочего плана счетов из 26 разрядов номера счета: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b/>
          <w:sz w:val="24"/>
          <w:szCs w:val="24"/>
        </w:rPr>
        <w:t>1-4 разряд</w:t>
      </w:r>
      <w:r w:rsidRPr="00A032EE">
        <w:rPr>
          <w:rFonts w:ascii="Times New Roman" w:hAnsi="Times New Roman"/>
          <w:sz w:val="24"/>
          <w:szCs w:val="24"/>
        </w:rPr>
        <w:t xml:space="preserve"> (раздел, подраздел расходов бюджета)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sz w:val="24"/>
          <w:szCs w:val="24"/>
        </w:rPr>
        <w:t xml:space="preserve">09 02 - амбулаторная помощь, за исключением данных учета по субсидиям на иные цели 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sz w:val="24"/>
          <w:szCs w:val="24"/>
        </w:rPr>
        <w:t>10 03 - социальное обеспечение населения (субсидии на иные цели)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b/>
          <w:sz w:val="24"/>
          <w:szCs w:val="24"/>
        </w:rPr>
        <w:t>5-14 разряд</w:t>
      </w:r>
      <w:r w:rsidRPr="00A032EE">
        <w:rPr>
          <w:rFonts w:ascii="Times New Roman" w:hAnsi="Times New Roman"/>
          <w:sz w:val="24"/>
          <w:szCs w:val="24"/>
        </w:rPr>
        <w:t xml:space="preserve"> – нули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032EE">
        <w:rPr>
          <w:rFonts w:ascii="Times New Roman" w:hAnsi="Times New Roman"/>
          <w:b/>
          <w:sz w:val="24"/>
          <w:szCs w:val="24"/>
        </w:rPr>
        <w:t>5-17 разряд</w:t>
      </w:r>
      <w:r w:rsidRPr="00A032EE">
        <w:rPr>
          <w:rFonts w:ascii="Times New Roman" w:hAnsi="Times New Roman"/>
          <w:sz w:val="24"/>
          <w:szCs w:val="24"/>
        </w:rPr>
        <w:t xml:space="preserve"> – классификационный признак поступлений и выбытий (коды классификаций доходов и расходов бюджета – КДБ и КРБ);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b/>
          <w:sz w:val="24"/>
          <w:szCs w:val="24"/>
        </w:rPr>
        <w:t>18 разряд</w:t>
      </w:r>
      <w:r w:rsidRPr="00A032EE">
        <w:rPr>
          <w:rFonts w:ascii="Times New Roman" w:hAnsi="Times New Roman"/>
          <w:sz w:val="24"/>
          <w:szCs w:val="24"/>
        </w:rPr>
        <w:t xml:space="preserve"> – источник финансового обеспечения (ИФО):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sz w:val="24"/>
          <w:szCs w:val="24"/>
        </w:rPr>
        <w:t>код 2 – приносящая доход деятельность (собственные доходы учреждения)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sz w:val="24"/>
          <w:szCs w:val="24"/>
        </w:rPr>
        <w:t xml:space="preserve">код 3 – средства во временном распоряжении  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sz w:val="24"/>
          <w:szCs w:val="24"/>
        </w:rPr>
        <w:t>код 4 – субсидии на выполнение  государственного (муниципального) задания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sz w:val="24"/>
          <w:szCs w:val="24"/>
        </w:rPr>
        <w:t>код 5 – субсидии на иные цели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sz w:val="24"/>
          <w:szCs w:val="24"/>
        </w:rPr>
        <w:t>код 7 – средства по обязательному медицинскому страхованию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b/>
          <w:sz w:val="24"/>
          <w:szCs w:val="24"/>
        </w:rPr>
        <w:t>19-21 разряд</w:t>
      </w:r>
      <w:r w:rsidRPr="00A032EE">
        <w:rPr>
          <w:rFonts w:ascii="Times New Roman" w:hAnsi="Times New Roman"/>
          <w:sz w:val="24"/>
          <w:szCs w:val="24"/>
        </w:rPr>
        <w:t xml:space="preserve"> – синтетический счет</w:t>
      </w:r>
    </w:p>
    <w:p w:rsidR="00A032EE" w:rsidRP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b/>
          <w:sz w:val="24"/>
          <w:szCs w:val="24"/>
        </w:rPr>
        <w:t>22-23 разряд</w:t>
      </w:r>
      <w:r w:rsidRPr="00A032EE">
        <w:rPr>
          <w:rFonts w:ascii="Times New Roman" w:hAnsi="Times New Roman"/>
          <w:sz w:val="24"/>
          <w:szCs w:val="24"/>
        </w:rPr>
        <w:t xml:space="preserve"> – аналитический счет</w:t>
      </w:r>
    </w:p>
    <w:p w:rsidR="00A032EE" w:rsidRDefault="00A032EE" w:rsidP="00E14D8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032EE">
        <w:rPr>
          <w:rFonts w:ascii="Times New Roman" w:hAnsi="Times New Roman"/>
          <w:b/>
          <w:sz w:val="24"/>
          <w:szCs w:val="24"/>
        </w:rPr>
        <w:t>24-26 разряд</w:t>
      </w:r>
      <w:r w:rsidRPr="00A032EE">
        <w:rPr>
          <w:rFonts w:ascii="Times New Roman" w:hAnsi="Times New Roman"/>
          <w:sz w:val="24"/>
          <w:szCs w:val="24"/>
        </w:rPr>
        <w:t xml:space="preserve"> – аналитический код вида поступлений, выбытий объектов учета, указыва</w:t>
      </w:r>
      <w:r>
        <w:rPr>
          <w:rFonts w:ascii="Times New Roman" w:hAnsi="Times New Roman"/>
          <w:sz w:val="24"/>
          <w:szCs w:val="24"/>
        </w:rPr>
        <w:t>ется</w:t>
      </w:r>
      <w:r w:rsidRPr="00A032EE">
        <w:rPr>
          <w:rFonts w:ascii="Times New Roman" w:hAnsi="Times New Roman"/>
          <w:sz w:val="24"/>
          <w:szCs w:val="24"/>
        </w:rPr>
        <w:t xml:space="preserve"> соответствующий код КОСГУ</w:t>
      </w:r>
      <w:r w:rsidR="006D27B9">
        <w:rPr>
          <w:rFonts w:ascii="Times New Roman" w:hAnsi="Times New Roman"/>
          <w:sz w:val="24"/>
          <w:szCs w:val="24"/>
        </w:rPr>
        <w:t>.</w:t>
      </w:r>
      <w:r w:rsidRPr="00A032EE">
        <w:rPr>
          <w:rFonts w:ascii="Times New Roman" w:hAnsi="Times New Roman"/>
          <w:sz w:val="24"/>
          <w:szCs w:val="24"/>
        </w:rPr>
        <w:t xml:space="preserve"> </w:t>
      </w:r>
    </w:p>
    <w:p w:rsidR="00DD54F9" w:rsidRP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Автоматизацию бухгалтерского учета осуществля</w:t>
      </w:r>
      <w:r>
        <w:rPr>
          <w:rFonts w:ascii="Times New Roman" w:hAnsi="Times New Roman"/>
          <w:sz w:val="24"/>
          <w:szCs w:val="24"/>
        </w:rPr>
        <w:t xml:space="preserve">ется в учреждении </w:t>
      </w:r>
      <w:r w:rsidRPr="00DD54F9">
        <w:rPr>
          <w:rFonts w:ascii="Times New Roman" w:hAnsi="Times New Roman"/>
          <w:sz w:val="24"/>
          <w:szCs w:val="24"/>
        </w:rPr>
        <w:t xml:space="preserve"> по разделам:</w:t>
      </w:r>
    </w:p>
    <w:p w:rsidR="00DD54F9" w:rsidRP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- учет основных средств</w:t>
      </w:r>
      <w:r>
        <w:rPr>
          <w:rFonts w:ascii="Times New Roman" w:hAnsi="Times New Roman"/>
          <w:sz w:val="24"/>
          <w:szCs w:val="24"/>
        </w:rPr>
        <w:t>,</w:t>
      </w:r>
    </w:p>
    <w:p w:rsidR="00DD54F9" w:rsidRP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- учет материальных запасов</w:t>
      </w:r>
      <w:r>
        <w:rPr>
          <w:rFonts w:ascii="Times New Roman" w:hAnsi="Times New Roman"/>
          <w:sz w:val="24"/>
          <w:szCs w:val="24"/>
        </w:rPr>
        <w:t>,</w:t>
      </w:r>
    </w:p>
    <w:p w:rsidR="00DD54F9" w:rsidRP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- расчеты по заработной плате</w:t>
      </w:r>
      <w:r>
        <w:rPr>
          <w:rFonts w:ascii="Times New Roman" w:hAnsi="Times New Roman"/>
          <w:sz w:val="24"/>
          <w:szCs w:val="24"/>
        </w:rPr>
        <w:t>,</w:t>
      </w:r>
    </w:p>
    <w:p w:rsidR="00DD54F9" w:rsidRP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- расчеты с дебиторами и кредиторами</w:t>
      </w:r>
      <w:r>
        <w:rPr>
          <w:rFonts w:ascii="Times New Roman" w:hAnsi="Times New Roman"/>
          <w:sz w:val="24"/>
          <w:szCs w:val="24"/>
        </w:rPr>
        <w:t>,</w:t>
      </w:r>
    </w:p>
    <w:p w:rsidR="00DD54F9" w:rsidRP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- расчеты по доходам</w:t>
      </w:r>
      <w:r>
        <w:rPr>
          <w:rFonts w:ascii="Times New Roman" w:hAnsi="Times New Roman"/>
          <w:sz w:val="24"/>
          <w:szCs w:val="24"/>
        </w:rPr>
        <w:t>,</w:t>
      </w:r>
    </w:p>
    <w:p w:rsidR="00DD54F9" w:rsidRP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lastRenderedPageBreak/>
        <w:t>- кассовые/банковские операции</w:t>
      </w:r>
      <w:r>
        <w:rPr>
          <w:rFonts w:ascii="Times New Roman" w:hAnsi="Times New Roman"/>
          <w:sz w:val="24"/>
          <w:szCs w:val="24"/>
        </w:rPr>
        <w:t>,</w:t>
      </w:r>
    </w:p>
    <w:p w:rsidR="00DD54F9" w:rsidRP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- операции по лицевым счетам</w:t>
      </w:r>
      <w:r>
        <w:rPr>
          <w:rFonts w:ascii="Times New Roman" w:hAnsi="Times New Roman"/>
          <w:sz w:val="24"/>
          <w:szCs w:val="24"/>
        </w:rPr>
        <w:t>,</w:t>
      </w:r>
    </w:p>
    <w:p w:rsidR="00DD54F9" w:rsidRDefault="00DD54F9" w:rsidP="00DD54F9">
      <w:pPr>
        <w:spacing w:after="0" w:line="360" w:lineRule="auto"/>
        <w:ind w:firstLine="539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- санкционирование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DD54F9" w:rsidRPr="00DD54F9" w:rsidRDefault="00DD54F9" w:rsidP="00DD54F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54F9">
        <w:rPr>
          <w:rFonts w:ascii="Times New Roman" w:hAnsi="Times New Roman"/>
          <w:sz w:val="24"/>
          <w:szCs w:val="24"/>
        </w:rPr>
        <w:t>В целях ведения бухгалтерского учета применяются </w:t>
      </w:r>
      <w:hyperlink r:id="rId38" w:history="1">
        <w:r w:rsidRPr="00DD54F9">
          <w:rPr>
            <w:rStyle w:val="af6"/>
            <w:rFonts w:ascii="Times New Roman" w:hAnsi="Times New Roman"/>
            <w:sz w:val="24"/>
            <w:szCs w:val="24"/>
          </w:rPr>
          <w:t>унифицированные формы первичных учетных документов</w:t>
        </w:r>
      </w:hyperlink>
      <w:r w:rsidRPr="00DD54F9">
        <w:rPr>
          <w:rFonts w:ascii="Times New Roman" w:hAnsi="Times New Roman"/>
          <w:sz w:val="24"/>
          <w:szCs w:val="24"/>
        </w:rPr>
        <w:t xml:space="preserve"> и </w:t>
      </w:r>
      <w:hyperlink r:id="rId39" w:history="1">
        <w:r w:rsidRPr="00DD54F9">
          <w:rPr>
            <w:rStyle w:val="af6"/>
            <w:rFonts w:ascii="Times New Roman" w:hAnsi="Times New Roman"/>
            <w:sz w:val="24"/>
            <w:szCs w:val="24"/>
          </w:rPr>
          <w:t>регистров</w:t>
        </w:r>
      </w:hyperlink>
      <w:r w:rsidRPr="00DD54F9">
        <w:rPr>
          <w:rFonts w:ascii="Times New Roman" w:hAnsi="Times New Roman"/>
          <w:sz w:val="24"/>
          <w:szCs w:val="24"/>
        </w:rPr>
        <w:t xml:space="preserve"> бухгалтерского учета, включенные в перечни, утвержденные </w:t>
      </w:r>
      <w:hyperlink r:id="rId40" w:history="1">
        <w:r w:rsidRPr="00DD54F9">
          <w:rPr>
            <w:rStyle w:val="af6"/>
            <w:rFonts w:ascii="Times New Roman" w:hAnsi="Times New Roman"/>
            <w:sz w:val="24"/>
            <w:szCs w:val="24"/>
          </w:rPr>
          <w:t>Приказом</w:t>
        </w:r>
      </w:hyperlink>
      <w:r w:rsidRPr="00DD54F9">
        <w:rPr>
          <w:rFonts w:ascii="Times New Roman" w:hAnsi="Times New Roman"/>
          <w:sz w:val="24"/>
          <w:szCs w:val="24"/>
        </w:rPr>
        <w:t xml:space="preserve"> N 52н. </w:t>
      </w:r>
    </w:p>
    <w:p w:rsidR="000F76C1" w:rsidRDefault="000F76C1" w:rsidP="000F76C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6C1">
        <w:rPr>
          <w:rFonts w:ascii="Times New Roman" w:hAnsi="Times New Roman"/>
          <w:sz w:val="24"/>
          <w:szCs w:val="24"/>
        </w:rPr>
        <w:t>Обработк</w:t>
      </w:r>
      <w:r>
        <w:rPr>
          <w:rFonts w:ascii="Times New Roman" w:hAnsi="Times New Roman"/>
          <w:sz w:val="24"/>
          <w:szCs w:val="24"/>
        </w:rPr>
        <w:t>а</w:t>
      </w:r>
      <w:r w:rsidRPr="000F76C1">
        <w:rPr>
          <w:rFonts w:ascii="Times New Roman" w:hAnsi="Times New Roman"/>
          <w:sz w:val="24"/>
          <w:szCs w:val="24"/>
        </w:rPr>
        <w:t xml:space="preserve"> первичных (сводных)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</w:t>
      </w:r>
      <w:r>
        <w:rPr>
          <w:rFonts w:ascii="Times New Roman" w:hAnsi="Times New Roman"/>
          <w:sz w:val="24"/>
          <w:szCs w:val="24"/>
        </w:rPr>
        <w:t>ется</w:t>
      </w:r>
      <w:r w:rsidRPr="000F76C1">
        <w:rPr>
          <w:rFonts w:ascii="Times New Roman" w:hAnsi="Times New Roman"/>
          <w:sz w:val="24"/>
          <w:szCs w:val="24"/>
        </w:rPr>
        <w:t xml:space="preserve"> с использованием программных продуктов системы «1С Предприятие»</w:t>
      </w:r>
      <w:r>
        <w:rPr>
          <w:rFonts w:ascii="Times New Roman" w:hAnsi="Times New Roman"/>
          <w:sz w:val="24"/>
          <w:szCs w:val="24"/>
        </w:rPr>
        <w:t>.</w:t>
      </w:r>
    </w:p>
    <w:p w:rsidR="007D7885" w:rsidRPr="007D7885" w:rsidRDefault="007D7885" w:rsidP="007D788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Первичные учетные документы, выставленные поставщиком (подрядчиком, продавцом) в последний рабочий день отчетного периода, но поступившие в Г</w:t>
      </w:r>
      <w:r>
        <w:rPr>
          <w:rFonts w:ascii="Times New Roman" w:hAnsi="Times New Roman" w:cs="Times New Roman"/>
          <w:sz w:val="24"/>
          <w:szCs w:val="24"/>
        </w:rPr>
        <w:t>БУЗ СО «НСП»</w:t>
      </w:r>
      <w:r w:rsidRPr="007D7885">
        <w:rPr>
          <w:rFonts w:ascii="Times New Roman" w:hAnsi="Times New Roman" w:cs="Times New Roman"/>
          <w:sz w:val="24"/>
          <w:szCs w:val="24"/>
        </w:rPr>
        <w:t xml:space="preserve"> в месяце, следующем </w:t>
      </w:r>
      <w:proofErr w:type="gramStart"/>
      <w:r w:rsidRPr="007D78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D7885">
        <w:rPr>
          <w:rFonts w:ascii="Times New Roman" w:hAnsi="Times New Roman" w:cs="Times New Roman"/>
          <w:sz w:val="24"/>
          <w:szCs w:val="24"/>
        </w:rPr>
        <w:t xml:space="preserve"> отчетным:</w:t>
      </w:r>
    </w:p>
    <w:p w:rsidR="007D7885" w:rsidRPr="007D7885" w:rsidRDefault="007D7885" w:rsidP="007D7885">
      <w:pPr>
        <w:pStyle w:val="af"/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в течение первых</w:t>
      </w:r>
      <w:r w:rsidR="00531EFB">
        <w:rPr>
          <w:rFonts w:ascii="Times New Roman" w:hAnsi="Times New Roman" w:cs="Times New Roman"/>
          <w:sz w:val="24"/>
          <w:szCs w:val="24"/>
        </w:rPr>
        <w:t xml:space="preserve"> </w:t>
      </w:r>
      <w:r w:rsidRPr="007D7885">
        <w:rPr>
          <w:rFonts w:ascii="Times New Roman" w:hAnsi="Times New Roman" w:cs="Times New Roman"/>
          <w:sz w:val="24"/>
          <w:szCs w:val="24"/>
        </w:rPr>
        <w:t xml:space="preserve"> 5  рабочих дней - отражаются месяцем их выставления; </w:t>
      </w:r>
    </w:p>
    <w:p w:rsidR="007D7885" w:rsidRPr="007D7885" w:rsidRDefault="007D7885" w:rsidP="007D7885">
      <w:pPr>
        <w:pStyle w:val="af"/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после 5 рабочих дней - отражаются месяцем их поступления (за исключением последнего месяца года, первичные документы по которому, отражаются  месяцем их выставления).</w:t>
      </w:r>
    </w:p>
    <w:p w:rsidR="00A46B53" w:rsidRPr="006D27B9" w:rsidRDefault="008C6E11" w:rsidP="00E14D87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Учетной политикой установлен следующий п</w:t>
      </w:r>
      <w:r w:rsidR="009F125E" w:rsidRPr="006D27B9">
        <w:rPr>
          <w:rFonts w:ascii="Times New Roman" w:hAnsi="Times New Roman" w:cs="Times New Roman"/>
          <w:sz w:val="24"/>
          <w:szCs w:val="24"/>
        </w:rPr>
        <w:t>орядок и сроки проведения инвент</w:t>
      </w:r>
      <w:r w:rsidRPr="006D27B9">
        <w:rPr>
          <w:rFonts w:ascii="Times New Roman" w:hAnsi="Times New Roman" w:cs="Times New Roman"/>
          <w:sz w:val="24"/>
          <w:szCs w:val="24"/>
        </w:rPr>
        <w:t>аризации активов и обязательств.</w:t>
      </w:r>
    </w:p>
    <w:p w:rsidR="0004313D" w:rsidRPr="006D27B9" w:rsidRDefault="006D27B9" w:rsidP="00E14D87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Инвентаризация активов и обязатель</w:t>
      </w:r>
      <w:proofErr w:type="gramStart"/>
      <w:r w:rsidRPr="006D27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D27B9">
        <w:rPr>
          <w:rFonts w:ascii="Times New Roman" w:hAnsi="Times New Roman" w:cs="Times New Roman"/>
          <w:sz w:val="24"/>
          <w:szCs w:val="24"/>
        </w:rPr>
        <w:t>оводится ГБУЗ СО «НСП» в порядке, предусмотренном нормативными правовыми актами,</w:t>
      </w:r>
      <w:r w:rsidR="0004313D" w:rsidRPr="006D27B9">
        <w:rPr>
          <w:rFonts w:ascii="Times New Roman" w:hAnsi="Times New Roman"/>
          <w:sz w:val="24"/>
          <w:szCs w:val="24"/>
        </w:rPr>
        <w:t xml:space="preserve"> в соответствии с требованиями:</w:t>
      </w:r>
    </w:p>
    <w:p w:rsidR="0004313D" w:rsidRPr="006D27B9" w:rsidRDefault="0004313D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</w:t>
      </w:r>
      <w:hyperlink r:id="rId41" w:history="1">
        <w:r w:rsidRPr="006D27B9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Федерального закона</w:t>
        </w:r>
      </w:hyperlink>
      <w:r w:rsidRPr="006D27B9">
        <w:rPr>
          <w:rFonts w:ascii="Times New Roman" w:hAnsi="Times New Roman"/>
          <w:sz w:val="24"/>
          <w:szCs w:val="24"/>
        </w:rPr>
        <w:t xml:space="preserve"> от 06.12.2011 N 402-ФЗ "О бухгалтерском учете" (далее - Закон N 402-ФЗ);</w:t>
      </w:r>
    </w:p>
    <w:p w:rsidR="0004313D" w:rsidRPr="006D27B9" w:rsidRDefault="0004313D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</w:t>
      </w:r>
      <w:hyperlink r:id="rId42" w:history="1">
        <w:r w:rsidRPr="006D27B9">
          <w:rPr>
            <w:rStyle w:val="af6"/>
            <w:rFonts w:ascii="Times New Roman" w:hAnsi="Times New Roman"/>
            <w:sz w:val="24"/>
            <w:szCs w:val="24"/>
            <w:u w:val="none"/>
          </w:rPr>
          <w:t>Инструкции</w:t>
        </w:r>
      </w:hyperlink>
      <w:r w:rsidRPr="006D27B9">
        <w:rPr>
          <w:rFonts w:ascii="Times New Roman" w:hAnsi="Times New Roman"/>
          <w:sz w:val="24"/>
          <w:szCs w:val="24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43" w:history="1">
        <w:r w:rsidRPr="006D27B9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6D27B9">
        <w:rPr>
          <w:rFonts w:ascii="Times New Roman" w:hAnsi="Times New Roman"/>
          <w:sz w:val="24"/>
          <w:szCs w:val="24"/>
        </w:rPr>
        <w:t xml:space="preserve"> Минфина России от 01.12.2010 N 157н (далее - Инструкции N 157н);</w:t>
      </w:r>
    </w:p>
    <w:p w:rsidR="0004313D" w:rsidRPr="006D27B9" w:rsidRDefault="0004313D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</w:t>
      </w:r>
      <w:hyperlink r:id="rId44" w:history="1">
        <w:r w:rsidRPr="006D27B9">
          <w:rPr>
            <w:rStyle w:val="af6"/>
            <w:rFonts w:ascii="Times New Roman" w:hAnsi="Times New Roman"/>
            <w:sz w:val="24"/>
            <w:szCs w:val="24"/>
            <w:u w:val="none"/>
          </w:rPr>
          <w:t>Федерального стандарта</w:t>
        </w:r>
      </w:hyperlink>
      <w:r w:rsidRPr="006D27B9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</w:t>
      </w:r>
      <w:hyperlink r:id="rId45" w:history="1">
        <w:r w:rsidRPr="006D27B9">
          <w:rPr>
            <w:rStyle w:val="af6"/>
            <w:rFonts w:ascii="Times New Roman" w:hAnsi="Times New Roman"/>
            <w:sz w:val="24"/>
            <w:szCs w:val="24"/>
            <w:u w:val="none"/>
          </w:rPr>
          <w:t>приказом</w:t>
        </w:r>
      </w:hyperlink>
      <w:r w:rsidRPr="006D27B9">
        <w:rPr>
          <w:rFonts w:ascii="Times New Roman" w:hAnsi="Times New Roman"/>
          <w:sz w:val="24"/>
          <w:szCs w:val="24"/>
        </w:rPr>
        <w:t xml:space="preserve"> Минфина России от 31.12.2016 N 256н;</w:t>
      </w:r>
    </w:p>
    <w:p w:rsidR="0004313D" w:rsidRDefault="0004313D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</w:t>
      </w:r>
      <w:hyperlink r:id="rId46" w:history="1">
        <w:r w:rsidRPr="006D27B9">
          <w:rPr>
            <w:rStyle w:val="af6"/>
            <w:rFonts w:ascii="Times New Roman" w:hAnsi="Times New Roman"/>
            <w:sz w:val="24"/>
            <w:szCs w:val="24"/>
            <w:u w:val="none"/>
          </w:rPr>
          <w:t>приказа</w:t>
        </w:r>
      </w:hyperlink>
      <w:r w:rsidRPr="006D27B9">
        <w:rPr>
          <w:rFonts w:ascii="Times New Roman" w:hAnsi="Times New Roman"/>
          <w:sz w:val="24"/>
          <w:szCs w:val="24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</w:t>
      </w:r>
      <w:r w:rsidR="006D27B9">
        <w:rPr>
          <w:rFonts w:ascii="Times New Roman" w:hAnsi="Times New Roman"/>
          <w:sz w:val="24"/>
          <w:szCs w:val="24"/>
        </w:rPr>
        <w:t>менению" (далее - Приказ N 52н).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lastRenderedPageBreak/>
        <w:t>Инвентаризация предполагает проверку наличия и состояния имущества на установленную дату и соответствие такой информации данным проводимого в бюджетном учреждении бухучета.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Целями инвентаризации являются: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выявление фактического наличия имущества;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сопоставление фактического наличия с данными бухгалтерского (бюджетного) учета;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проверка полноты отражения в учете финансовых активов и обязательств;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определение фактического состояния имущества и его оценка;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 документальное подтверждение наличия активов и обязательств.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Задачи, решаемые при помощи инвентаризации: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 фактическая перепись и пересчет имущества бюджетного учреждения;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 сличение полученных данных с информацией по бухгалтерскому учету;</w:t>
      </w:r>
    </w:p>
    <w:p w:rsidR="006D27B9" w:rsidRP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 составление документации по инвентаризации, в том числе выделение объектов, по которым данные фактического и бухгалтерского учета расходятся;</w:t>
      </w:r>
    </w:p>
    <w:p w:rsidR="006D27B9" w:rsidRDefault="006D27B9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7B9">
        <w:rPr>
          <w:rFonts w:ascii="Times New Roman" w:hAnsi="Times New Roman"/>
          <w:sz w:val="24"/>
          <w:szCs w:val="24"/>
        </w:rPr>
        <w:t>- определение факторов, повлиявших на расхождение информации.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Инвентаризация может быть сплошной (переписываются и подсчитываются абсолютно все активы учреждения) или выборочной (анализируется определенный участок учета).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 xml:space="preserve">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</w:t>
      </w:r>
      <w:hyperlink w:anchor="sub_22" w:history="1">
        <w:r w:rsidRPr="00FB7166">
          <w:rPr>
            <w:rStyle w:val="af6"/>
            <w:rFonts w:ascii="Times New Roman" w:hAnsi="Times New Roman"/>
            <w:sz w:val="24"/>
            <w:szCs w:val="24"/>
          </w:rPr>
          <w:t xml:space="preserve">п. </w:t>
        </w:r>
        <w:r>
          <w:rPr>
            <w:rStyle w:val="af6"/>
            <w:rFonts w:ascii="Times New Roman" w:hAnsi="Times New Roman"/>
            <w:sz w:val="24"/>
            <w:szCs w:val="24"/>
          </w:rPr>
          <w:t>А</w:t>
        </w:r>
      </w:hyperlink>
      <w:r w:rsidRPr="00FB7166">
        <w:rPr>
          <w:rFonts w:ascii="Times New Roman" w:hAnsi="Times New Roman"/>
          <w:sz w:val="24"/>
          <w:szCs w:val="24"/>
        </w:rPr>
        <w:t>.</w:t>
      </w:r>
    </w:p>
    <w:p w:rsidR="00FB7166" w:rsidRPr="00FB7166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2"/>
      <w:proofErr w:type="spellStart"/>
      <w:r w:rsidRPr="00E14D87">
        <w:rPr>
          <w:rFonts w:ascii="Times New Roman" w:hAnsi="Times New Roman"/>
          <w:color w:val="0000FF"/>
          <w:sz w:val="24"/>
          <w:szCs w:val="24"/>
          <w:u w:val="single"/>
        </w:rPr>
        <w:t>п</w:t>
      </w:r>
      <w:r w:rsidR="00FB7166" w:rsidRPr="00E14D87">
        <w:rPr>
          <w:rFonts w:ascii="Times New Roman" w:hAnsi="Times New Roman"/>
          <w:color w:val="0000FF"/>
          <w:sz w:val="24"/>
          <w:szCs w:val="24"/>
          <w:u w:val="single"/>
        </w:rPr>
        <w:t>.А</w:t>
      </w:r>
      <w:proofErr w:type="spellEnd"/>
      <w:r w:rsidR="00FB7166" w:rsidRPr="00E14D87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 w:rsidR="00FB7166" w:rsidRPr="00E14D87">
        <w:rPr>
          <w:rFonts w:ascii="Times New Roman" w:hAnsi="Times New Roman"/>
          <w:color w:val="0070C0"/>
          <w:sz w:val="24"/>
          <w:szCs w:val="24"/>
        </w:rPr>
        <w:t> </w:t>
      </w:r>
      <w:r w:rsidR="00FB7166" w:rsidRPr="00FB7166">
        <w:rPr>
          <w:rFonts w:ascii="Times New Roman" w:hAnsi="Times New Roman"/>
          <w:sz w:val="24"/>
          <w:szCs w:val="24"/>
        </w:rPr>
        <w:t>Инвентаризация имущества и обязательств учреждения проводится обязательно:</w:t>
      </w:r>
    </w:p>
    <w:bookmarkEnd w:id="0"/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- при установлении фактов хищений или злоупотреблений, а также порчи ценностей;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- в случае стихийных бедствий, пожара, аварий или других чрезвычайных ситуаций, вызванных экстремальными условиями;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- при смене материально ответственных лиц (на день приемки-передачи дел);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- 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- перед составлением годовой бухгалтерской (бюджетной) отчетности, кроме имущества, инвентаризация которого проводилась не ранее 1 октября отчетного года;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- при реорганизации, ликвидации учреждения перед составлением разделительного (ликвидационного) баланса: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- в других случаях, предусмотренных законодательством Российской Федерации или нормативными актами Минфина России.</w:t>
      </w:r>
    </w:p>
    <w:p w:rsidR="00FB7166" w:rsidRPr="00FB7166" w:rsidRDefault="00FB7166" w:rsidP="00E14D87">
      <w:pPr>
        <w:pStyle w:val="14"/>
        <w:spacing w:line="360" w:lineRule="auto"/>
        <w:ind w:firstLine="709"/>
        <w:rPr>
          <w:sz w:val="24"/>
          <w:szCs w:val="24"/>
        </w:rPr>
      </w:pPr>
      <w:bookmarkStart w:id="1" w:name="sub_24"/>
      <w:r w:rsidRPr="00FB7166">
        <w:rPr>
          <w:sz w:val="24"/>
          <w:szCs w:val="24"/>
        </w:rPr>
        <w:t>Для проведения инвентаризации в организации создается постоянно действующая инвентаризационная комиссия</w:t>
      </w:r>
      <w:bookmarkEnd w:id="1"/>
      <w:r>
        <w:rPr>
          <w:sz w:val="24"/>
          <w:szCs w:val="24"/>
        </w:rPr>
        <w:t xml:space="preserve"> (п</w:t>
      </w:r>
      <w:r w:rsidRPr="00FB7166">
        <w:rPr>
          <w:sz w:val="24"/>
          <w:szCs w:val="24"/>
        </w:rPr>
        <w:t xml:space="preserve">редседатель комиссии: </w:t>
      </w:r>
      <w:r>
        <w:rPr>
          <w:sz w:val="24"/>
          <w:szCs w:val="24"/>
        </w:rPr>
        <w:t>г</w:t>
      </w:r>
      <w:r w:rsidRPr="00FB7166">
        <w:rPr>
          <w:sz w:val="24"/>
          <w:szCs w:val="24"/>
        </w:rPr>
        <w:t>лавный врач</w:t>
      </w:r>
      <w:r>
        <w:rPr>
          <w:sz w:val="24"/>
          <w:szCs w:val="24"/>
        </w:rPr>
        <w:t>, ч</w:t>
      </w:r>
      <w:r w:rsidRPr="00FB7166">
        <w:rPr>
          <w:sz w:val="24"/>
          <w:szCs w:val="24"/>
        </w:rPr>
        <w:t>лены комиссии:</w:t>
      </w:r>
      <w:r>
        <w:rPr>
          <w:sz w:val="24"/>
          <w:szCs w:val="24"/>
        </w:rPr>
        <w:t xml:space="preserve"> сотрудники бухгалтерии, у</w:t>
      </w:r>
      <w:r w:rsidRPr="00FB7166">
        <w:rPr>
          <w:sz w:val="24"/>
          <w:szCs w:val="24"/>
        </w:rPr>
        <w:t xml:space="preserve">полномоченный </w:t>
      </w:r>
      <w:r>
        <w:rPr>
          <w:sz w:val="24"/>
          <w:szCs w:val="24"/>
        </w:rPr>
        <w:t>представитель коллектива)</w:t>
      </w:r>
      <w:r w:rsidRPr="00FB7166">
        <w:rPr>
          <w:sz w:val="24"/>
          <w:szCs w:val="24"/>
        </w:rPr>
        <w:t xml:space="preserve">. Материально </w:t>
      </w:r>
      <w:r w:rsidRPr="00FB7166">
        <w:rPr>
          <w:sz w:val="24"/>
          <w:szCs w:val="24"/>
        </w:rPr>
        <w:lastRenderedPageBreak/>
        <w:t>ответственные лица, ответственные за объекты имущества лица в состав инвентаризационной комиссии не входят. Их присутствие при проверке фактического наличия имущества обязательно.</w:t>
      </w:r>
    </w:p>
    <w:p w:rsidR="00FB7166" w:rsidRPr="00FB7166" w:rsidRDefault="00FB7166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166">
        <w:rPr>
          <w:rFonts w:ascii="Times New Roman" w:hAnsi="Times New Roman"/>
          <w:sz w:val="24"/>
          <w:szCs w:val="24"/>
        </w:rPr>
        <w:t>С материально ответственных лиц,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 xml:space="preserve">Для оформления инвентаризации применять формы, утвержденные Приказом N 52н: инвентаризационные описи (формы </w:t>
      </w:r>
      <w:r w:rsidRPr="00E14D87">
        <w:rPr>
          <w:rFonts w:ascii="Times New Roman" w:hAnsi="Times New Roman"/>
          <w:color w:val="0000FF"/>
          <w:sz w:val="24"/>
          <w:szCs w:val="24"/>
        </w:rPr>
        <w:t xml:space="preserve">0504081 - 0504089, </w:t>
      </w:r>
      <w:hyperlink r:id="rId47" w:history="1">
        <w:r w:rsidRPr="00E14D87">
          <w:rPr>
            <w:rStyle w:val="af6"/>
            <w:rFonts w:ascii="Times New Roman" w:hAnsi="Times New Roman"/>
            <w:sz w:val="24"/>
            <w:szCs w:val="24"/>
            <w:u w:val="none"/>
          </w:rPr>
          <w:t>0504091</w:t>
        </w:r>
      </w:hyperlink>
      <w:r w:rsidRPr="00E14D87">
        <w:rPr>
          <w:rFonts w:ascii="Times New Roman" w:hAnsi="Times New Roman"/>
          <w:sz w:val="24"/>
          <w:szCs w:val="24"/>
        </w:rPr>
        <w:t>) и ведомость расхождений по результатам инвентаризации (</w:t>
      </w:r>
      <w:hyperlink r:id="rId48" w:history="1">
        <w:r w:rsidRPr="00E14D87">
          <w:rPr>
            <w:rStyle w:val="af6"/>
            <w:rFonts w:ascii="Times New Roman" w:hAnsi="Times New Roman"/>
            <w:sz w:val="24"/>
            <w:szCs w:val="24"/>
            <w:u w:val="none"/>
          </w:rPr>
          <w:t>ф. 0504092</w:t>
        </w:r>
      </w:hyperlink>
      <w:r w:rsidRPr="00E14D87">
        <w:rPr>
          <w:rFonts w:ascii="Times New Roman" w:hAnsi="Times New Roman"/>
          <w:sz w:val="24"/>
          <w:szCs w:val="24"/>
        </w:rPr>
        <w:t>). Для каждого вида имущества оформляется своя форма инвентаризационной описи (сличительной ведомости).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Инвентаризационная комиссия обеспечивать полноту и точность данных о фактических остатках имущества, правильность и своевременность оформления.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Инвентаризационные описи составляются отдельно по каждому месту хранения ценностей и материально ответственным лицам.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Инвентаризационные описи подписывают все члены инвентаризационной комиссии и материально ответственные лица, ответственные лица, что подтверждает факт проверки комиссией имущества в их присутствии.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По завершении инвентаризации материально ответственные лица,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Один экземпляр описи передается в бухгалтерию, второй остается у материально ответственных лиц, ответственных лиц.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На имущество, находящееся на ответственном хранении, арендованное, составляются отдельные описи (акты).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Оформление результатов инвентаризации и выявленных расхождений</w:t>
      </w:r>
      <w:r>
        <w:rPr>
          <w:rFonts w:ascii="Times New Roman" w:hAnsi="Times New Roman"/>
          <w:sz w:val="24"/>
          <w:szCs w:val="24"/>
        </w:rPr>
        <w:t xml:space="preserve"> в ГБУЗ СО «НСП».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E14D87" w:rsidRPr="00E178B8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14D87">
        <w:rPr>
          <w:rFonts w:ascii="Times New Roman" w:hAnsi="Times New Roman"/>
          <w:sz w:val="24"/>
          <w:szCs w:val="24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фиксировать в Ведомости расхождений по результатам инвентаризации (</w:t>
      </w:r>
      <w:hyperlink r:id="rId49" w:history="1">
        <w:r w:rsidRPr="00E14D87">
          <w:rPr>
            <w:rStyle w:val="af6"/>
            <w:rFonts w:ascii="Times New Roman" w:hAnsi="Times New Roman"/>
            <w:sz w:val="24"/>
            <w:szCs w:val="24"/>
            <w:u w:val="none"/>
          </w:rPr>
          <w:t>ф.0504092</w:t>
        </w:r>
      </w:hyperlink>
      <w:r w:rsidRPr="00E14D87">
        <w:rPr>
          <w:rFonts w:ascii="Times New Roman" w:hAnsi="Times New Roman"/>
          <w:sz w:val="24"/>
          <w:szCs w:val="24"/>
        </w:rPr>
        <w:t xml:space="preserve">). Расхождения указываются в Ведомости </w:t>
      </w:r>
      <w:r w:rsidRPr="00E14D87">
        <w:rPr>
          <w:rFonts w:ascii="Times New Roman" w:hAnsi="Times New Roman"/>
          <w:color w:val="0000FF"/>
          <w:sz w:val="24"/>
          <w:szCs w:val="24"/>
        </w:rPr>
        <w:t xml:space="preserve">(ф.0504092) </w:t>
      </w:r>
      <w:r w:rsidRPr="00E14D87">
        <w:rPr>
          <w:rFonts w:ascii="Times New Roman" w:hAnsi="Times New Roman"/>
          <w:sz w:val="24"/>
          <w:szCs w:val="24"/>
        </w:rPr>
        <w:t>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50" w:history="1">
        <w:r w:rsidRPr="00E14D87">
          <w:rPr>
            <w:rStyle w:val="af6"/>
            <w:rFonts w:ascii="Times New Roman" w:hAnsi="Times New Roman"/>
            <w:sz w:val="24"/>
            <w:szCs w:val="24"/>
            <w:u w:val="none"/>
          </w:rPr>
          <w:t>ф.0504835</w:t>
        </w:r>
      </w:hyperlink>
      <w:r w:rsidRPr="00E14D87">
        <w:rPr>
          <w:rFonts w:ascii="Times New Roman" w:hAnsi="Times New Roman"/>
          <w:sz w:val="24"/>
          <w:szCs w:val="24"/>
        </w:rPr>
        <w:t>).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lastRenderedPageBreak/>
        <w:t xml:space="preserve">На ценности, числящиеся в бухгалтерском учете на </w:t>
      </w:r>
      <w:proofErr w:type="spellStart"/>
      <w:r w:rsidRPr="00E14D87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E14D87">
        <w:rPr>
          <w:rFonts w:ascii="Times New Roman" w:hAnsi="Times New Roman"/>
          <w:sz w:val="24"/>
          <w:szCs w:val="24"/>
        </w:rPr>
        <w:t xml:space="preserve"> счетах, составляется отдельная ведомость.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- по отнесению недостач имущества, а также имущества, пришедшего в негодность, за счет виновных лиц либо их списанию;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- по оприходованию излишков;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- иные предложения.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51" w:history="1">
        <w:r w:rsidRPr="00E14D87">
          <w:rPr>
            <w:rStyle w:val="af6"/>
            <w:rFonts w:ascii="Times New Roman" w:hAnsi="Times New Roman"/>
            <w:sz w:val="24"/>
            <w:szCs w:val="24"/>
            <w:u w:val="none"/>
          </w:rPr>
          <w:t>ф.0504092</w:t>
        </w:r>
      </w:hyperlink>
      <w:r w:rsidRPr="00E14D87">
        <w:rPr>
          <w:rFonts w:ascii="Times New Roman" w:hAnsi="Times New Roman"/>
          <w:sz w:val="24"/>
          <w:szCs w:val="24"/>
        </w:rPr>
        <w:t>), комиссия составляет Акт о результатах инвентаризации (</w:t>
      </w:r>
      <w:hyperlink r:id="rId52" w:history="1">
        <w:r w:rsidRPr="00E14D87">
          <w:rPr>
            <w:rStyle w:val="af6"/>
            <w:rFonts w:ascii="Times New Roman" w:hAnsi="Times New Roman"/>
            <w:sz w:val="24"/>
            <w:szCs w:val="24"/>
            <w:u w:val="none"/>
          </w:rPr>
          <w:t>ф. 0504835</w:t>
        </w:r>
      </w:hyperlink>
      <w:r w:rsidRPr="00E14D87">
        <w:rPr>
          <w:rFonts w:ascii="Times New Roman" w:hAnsi="Times New Roman"/>
          <w:sz w:val="24"/>
          <w:szCs w:val="24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E14D87" w:rsidRP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По результатам инвентаризации издается приказ.</w:t>
      </w:r>
    </w:p>
    <w:p w:rsidR="00E14D87" w:rsidRDefault="00E14D87" w:rsidP="00E14D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D87">
        <w:rPr>
          <w:rFonts w:ascii="Times New Roman" w:hAnsi="Times New Roman"/>
          <w:sz w:val="24"/>
          <w:szCs w:val="24"/>
        </w:rP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4F175A" w:rsidRP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 xml:space="preserve">Цели, задачи и принципы внутреннего контроля. 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К основным задачам внутреннего контроля относятся: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 xml:space="preserve"> – контроль (проверка) за соблюдением в учреждении федеральных законов, постановлений и распоряжений Правительства РФ, Правительства Самарской области, Министерства здравоохранения Самарской области;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исполнение приказов и распоряжений руководителя учреждения;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законность совершения кассовых операций в учреждении;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организация учета и обеспечение сохранности имущества в учреждении;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установление соответствия осуществляемых операций регламентам, полномочиям сотрудников;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эффективное использование собственности, находящейся в оперативном управлении;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lastRenderedPageBreak/>
        <w:t>– выявление внутрихозяйственных резервов и принятие мер к использованию их в интересах обеспечения деятельности учреждения;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установление соответствия проводимых финансовых операций в части финансово-хозяйственной деятельности и их отражения в бюджетном учете;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точность и полнота документации бухгалтерского учета;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своевременность подготовки достоверной бухгалтерской отчетности;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предотвращение ошибок и искажений в учете;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изучение причин недостатков и нарушений в финансово-хозяйственной деятельности, принятие действенных мер к их устранению, предупреждению и своевременному возмещению причиненного ответственными лицами материального ущерба;</w:t>
      </w:r>
    </w:p>
    <w:p w:rsidR="004F175A" w:rsidRDefault="004F175A" w:rsidP="004F175A">
      <w:pPr>
        <w:pStyle w:val="14"/>
        <w:spacing w:line="360" w:lineRule="auto"/>
        <w:ind w:firstLine="709"/>
        <w:rPr>
          <w:sz w:val="24"/>
          <w:szCs w:val="24"/>
        </w:rPr>
      </w:pPr>
      <w:r w:rsidRPr="004F175A">
        <w:rPr>
          <w:sz w:val="24"/>
          <w:szCs w:val="24"/>
        </w:rPr>
        <w:t>– изучение опыта практического применения в учреждении действующих положений, инструкций и иных правовых актов, в целях их совершенствования.</w:t>
      </w:r>
    </w:p>
    <w:p w:rsidR="00D22ADB" w:rsidRPr="007E49D8" w:rsidRDefault="00D22ADB" w:rsidP="00D22AD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1018"/>
      <w:r w:rsidRPr="007E49D8">
        <w:rPr>
          <w:rFonts w:ascii="Times New Roman" w:hAnsi="Times New Roman"/>
          <w:sz w:val="24"/>
          <w:szCs w:val="24"/>
        </w:rPr>
        <w:t>Санкционирование расходов.</w:t>
      </w:r>
    </w:p>
    <w:bookmarkEnd w:id="2"/>
    <w:p w:rsidR="00D22ADB" w:rsidRPr="007E49D8" w:rsidRDefault="00D22ADB" w:rsidP="00D22A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9D8">
        <w:rPr>
          <w:rFonts w:ascii="Times New Roman" w:hAnsi="Times New Roman"/>
          <w:sz w:val="24"/>
          <w:szCs w:val="24"/>
        </w:rPr>
        <w:t xml:space="preserve">Обязательства принимать к учету в пределах утвержденных плановых назначений (ПФХД) в разрезе статей (подстатей) КОСГУ, </w:t>
      </w:r>
      <w:r w:rsidR="007E49D8" w:rsidRPr="007E49D8">
        <w:rPr>
          <w:rFonts w:ascii="Times New Roman" w:hAnsi="Times New Roman"/>
          <w:sz w:val="24"/>
          <w:szCs w:val="24"/>
        </w:rPr>
        <w:t xml:space="preserve"> </w:t>
      </w:r>
      <w:r w:rsidRPr="007E49D8">
        <w:rPr>
          <w:rFonts w:ascii="Times New Roman" w:hAnsi="Times New Roman"/>
          <w:sz w:val="24"/>
          <w:szCs w:val="24"/>
        </w:rPr>
        <w:t>контрактов (договоров).</w:t>
      </w:r>
    </w:p>
    <w:p w:rsidR="00D22ADB" w:rsidRPr="007E49D8" w:rsidRDefault="00D22ADB" w:rsidP="00D22A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9D8">
        <w:rPr>
          <w:rFonts w:ascii="Times New Roman" w:hAnsi="Times New Roman"/>
          <w:sz w:val="24"/>
          <w:szCs w:val="24"/>
        </w:rPr>
        <w:t>К принятым обязательствам текущего финансового года относить расходные обязательства:</w:t>
      </w:r>
    </w:p>
    <w:p w:rsidR="00D22ADB" w:rsidRPr="007E49D8" w:rsidRDefault="00D22ADB" w:rsidP="00D22A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9D8">
        <w:rPr>
          <w:rFonts w:ascii="Times New Roman" w:hAnsi="Times New Roman"/>
          <w:sz w:val="24"/>
          <w:szCs w:val="24"/>
        </w:rPr>
        <w:t>- принятые и неисполненные учреждением обязательства прошлых лет, подлежащие исполнению в текущем г</w:t>
      </w:r>
      <w:bookmarkStart w:id="3" w:name="_GoBack"/>
      <w:bookmarkEnd w:id="3"/>
      <w:r w:rsidRPr="007E49D8">
        <w:rPr>
          <w:rFonts w:ascii="Times New Roman" w:hAnsi="Times New Roman"/>
          <w:sz w:val="24"/>
          <w:szCs w:val="24"/>
        </w:rPr>
        <w:t>оду;</w:t>
      </w:r>
    </w:p>
    <w:p w:rsidR="00D22ADB" w:rsidRPr="007E49D8" w:rsidRDefault="00D22ADB" w:rsidP="00D22A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9D8">
        <w:rPr>
          <w:rFonts w:ascii="Times New Roman" w:hAnsi="Times New Roman"/>
          <w:sz w:val="24"/>
          <w:szCs w:val="24"/>
        </w:rPr>
        <w:t>- расходные обязательства, предусмотренные к исполнению в текущем году, в том числе принимаемые обязательства при проведении закупок конкурентными способами.</w:t>
      </w:r>
    </w:p>
    <w:p w:rsidR="00D22ADB" w:rsidRPr="007E49D8" w:rsidRDefault="00D22ADB" w:rsidP="00D22A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9D8">
        <w:rPr>
          <w:rFonts w:ascii="Times New Roman" w:hAnsi="Times New Roman"/>
          <w:sz w:val="24"/>
          <w:szCs w:val="24"/>
        </w:rPr>
        <w:t>Денежные обязательства отражать в учете не ранее принятия расходных обязательств, в сумме, документально подтверждающей его возникновение.</w:t>
      </w:r>
    </w:p>
    <w:sectPr w:rsidR="00D22ADB" w:rsidRPr="007E49D8" w:rsidSect="00167BF6">
      <w:headerReference w:type="default" r:id="rId53"/>
      <w:footerReference w:type="even" r:id="rId5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DF" w:rsidRDefault="00BB4BDF" w:rsidP="00E12FC1">
      <w:pPr>
        <w:spacing w:after="0" w:line="240" w:lineRule="auto"/>
      </w:pPr>
      <w:r>
        <w:separator/>
      </w:r>
    </w:p>
  </w:endnote>
  <w:endnote w:type="continuationSeparator" w:id="0">
    <w:p w:rsidR="00BB4BDF" w:rsidRDefault="00BB4BDF" w:rsidP="00E1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3A" w:rsidRDefault="007B4369" w:rsidP="00745A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23A" w:rsidRDefault="00625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DF" w:rsidRDefault="00BB4BDF" w:rsidP="00E12FC1">
      <w:pPr>
        <w:spacing w:after="0" w:line="240" w:lineRule="auto"/>
      </w:pPr>
      <w:r>
        <w:separator/>
      </w:r>
    </w:p>
  </w:footnote>
  <w:footnote w:type="continuationSeparator" w:id="0">
    <w:p w:rsidR="00BB4BDF" w:rsidRDefault="00BB4BDF" w:rsidP="00E1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523A" w:rsidRDefault="007B4369">
        <w:pPr>
          <w:pStyle w:val="a3"/>
          <w:jc w:val="center"/>
        </w:pPr>
        <w:r w:rsidRPr="007671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523A" w:rsidRPr="007671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71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9D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671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523A" w:rsidRDefault="00625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7F2"/>
    <w:multiLevelType w:val="multilevel"/>
    <w:tmpl w:val="6138080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4427A3"/>
    <w:multiLevelType w:val="hybridMultilevel"/>
    <w:tmpl w:val="A0CE69FE"/>
    <w:lvl w:ilvl="0" w:tplc="863645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4D4945"/>
    <w:multiLevelType w:val="multilevel"/>
    <w:tmpl w:val="93A238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B0E2A4C"/>
    <w:multiLevelType w:val="hybridMultilevel"/>
    <w:tmpl w:val="80108E70"/>
    <w:lvl w:ilvl="0" w:tplc="863645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B15E3B"/>
    <w:multiLevelType w:val="multilevel"/>
    <w:tmpl w:val="A76AF73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33A1EDA"/>
    <w:multiLevelType w:val="hybridMultilevel"/>
    <w:tmpl w:val="F8CE7F1E"/>
    <w:lvl w:ilvl="0" w:tplc="86364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47431"/>
    <w:multiLevelType w:val="hybridMultilevel"/>
    <w:tmpl w:val="90C8C2DC"/>
    <w:lvl w:ilvl="0" w:tplc="8636459E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751BE"/>
    <w:multiLevelType w:val="multilevel"/>
    <w:tmpl w:val="405A4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29E85F36"/>
    <w:multiLevelType w:val="multilevel"/>
    <w:tmpl w:val="BDA02AC4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8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BC842A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2D1C3F7D"/>
    <w:multiLevelType w:val="hybridMultilevel"/>
    <w:tmpl w:val="D6808344"/>
    <w:lvl w:ilvl="0" w:tplc="863645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0240D38"/>
    <w:multiLevelType w:val="hybridMultilevel"/>
    <w:tmpl w:val="B75CD3C0"/>
    <w:lvl w:ilvl="0" w:tplc="863645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168A8"/>
    <w:multiLevelType w:val="hybridMultilevel"/>
    <w:tmpl w:val="A38CC71E"/>
    <w:lvl w:ilvl="0" w:tplc="8636459E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87CDF"/>
    <w:multiLevelType w:val="hybridMultilevel"/>
    <w:tmpl w:val="A2122302"/>
    <w:lvl w:ilvl="0" w:tplc="8636459E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E795DE8"/>
    <w:multiLevelType w:val="hybridMultilevel"/>
    <w:tmpl w:val="D2442CFA"/>
    <w:lvl w:ilvl="0" w:tplc="863645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9AB5C99"/>
    <w:multiLevelType w:val="multilevel"/>
    <w:tmpl w:val="55BA251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55E3F9C"/>
    <w:multiLevelType w:val="hybridMultilevel"/>
    <w:tmpl w:val="1D14DC5A"/>
    <w:lvl w:ilvl="0" w:tplc="863645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B8D7ED9"/>
    <w:multiLevelType w:val="hybridMultilevel"/>
    <w:tmpl w:val="7528FEFA"/>
    <w:lvl w:ilvl="0" w:tplc="863645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713BE2"/>
    <w:multiLevelType w:val="multilevel"/>
    <w:tmpl w:val="1F1CF5E8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5E02BB"/>
    <w:multiLevelType w:val="hybridMultilevel"/>
    <w:tmpl w:val="D3FABC86"/>
    <w:lvl w:ilvl="0" w:tplc="863645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4"/>
  </w:num>
  <w:num w:numId="17">
    <w:abstractNumId w:val="18"/>
  </w:num>
  <w:num w:numId="18">
    <w:abstractNumId w:val="8"/>
  </w:num>
  <w:num w:numId="19">
    <w:abstractNumId w:val="0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1"/>
    <w:rsid w:val="00000DC8"/>
    <w:rsid w:val="00002B62"/>
    <w:rsid w:val="00003AE5"/>
    <w:rsid w:val="00006DDB"/>
    <w:rsid w:val="00007A32"/>
    <w:rsid w:val="00007E3D"/>
    <w:rsid w:val="00010FAA"/>
    <w:rsid w:val="00016C08"/>
    <w:rsid w:val="00017B7E"/>
    <w:rsid w:val="00022D35"/>
    <w:rsid w:val="00023677"/>
    <w:rsid w:val="000263B7"/>
    <w:rsid w:val="000263DD"/>
    <w:rsid w:val="000367B7"/>
    <w:rsid w:val="0004313D"/>
    <w:rsid w:val="00045E3F"/>
    <w:rsid w:val="000468CE"/>
    <w:rsid w:val="000501B3"/>
    <w:rsid w:val="00051EDD"/>
    <w:rsid w:val="00052CAB"/>
    <w:rsid w:val="0005586A"/>
    <w:rsid w:val="00057DD3"/>
    <w:rsid w:val="00060F46"/>
    <w:rsid w:val="00061BD2"/>
    <w:rsid w:val="00062202"/>
    <w:rsid w:val="00071169"/>
    <w:rsid w:val="000A65E5"/>
    <w:rsid w:val="000A7DCF"/>
    <w:rsid w:val="000B519B"/>
    <w:rsid w:val="000B6DCC"/>
    <w:rsid w:val="000C0089"/>
    <w:rsid w:val="000C3BF5"/>
    <w:rsid w:val="000C449A"/>
    <w:rsid w:val="000C618A"/>
    <w:rsid w:val="000E482F"/>
    <w:rsid w:val="000E4BA0"/>
    <w:rsid w:val="000E569A"/>
    <w:rsid w:val="000F2459"/>
    <w:rsid w:val="000F3012"/>
    <w:rsid w:val="000F3293"/>
    <w:rsid w:val="000F5208"/>
    <w:rsid w:val="000F5B25"/>
    <w:rsid w:val="000F72E8"/>
    <w:rsid w:val="000F76C1"/>
    <w:rsid w:val="000F7C7A"/>
    <w:rsid w:val="00100BE8"/>
    <w:rsid w:val="00102E22"/>
    <w:rsid w:val="0010722A"/>
    <w:rsid w:val="001127FA"/>
    <w:rsid w:val="00114014"/>
    <w:rsid w:val="00114B22"/>
    <w:rsid w:val="00116D6C"/>
    <w:rsid w:val="0012281D"/>
    <w:rsid w:val="00125F72"/>
    <w:rsid w:val="00131B20"/>
    <w:rsid w:val="00143C24"/>
    <w:rsid w:val="0014552B"/>
    <w:rsid w:val="0014662C"/>
    <w:rsid w:val="0015652E"/>
    <w:rsid w:val="001603B0"/>
    <w:rsid w:val="001631A6"/>
    <w:rsid w:val="0016459A"/>
    <w:rsid w:val="00165406"/>
    <w:rsid w:val="0016647E"/>
    <w:rsid w:val="00167BF6"/>
    <w:rsid w:val="001827DA"/>
    <w:rsid w:val="00182EEF"/>
    <w:rsid w:val="00191CD4"/>
    <w:rsid w:val="00196CE0"/>
    <w:rsid w:val="001A09FE"/>
    <w:rsid w:val="001A49D5"/>
    <w:rsid w:val="001A49ED"/>
    <w:rsid w:val="001B1F1F"/>
    <w:rsid w:val="001B56AC"/>
    <w:rsid w:val="001B585C"/>
    <w:rsid w:val="001C1119"/>
    <w:rsid w:val="001C3C2E"/>
    <w:rsid w:val="001D1E48"/>
    <w:rsid w:val="001D38C6"/>
    <w:rsid w:val="001E39DF"/>
    <w:rsid w:val="001F3DB1"/>
    <w:rsid w:val="002017F5"/>
    <w:rsid w:val="002032CF"/>
    <w:rsid w:val="00205600"/>
    <w:rsid w:val="00211B35"/>
    <w:rsid w:val="00211C6B"/>
    <w:rsid w:val="00213BEC"/>
    <w:rsid w:val="00216DE8"/>
    <w:rsid w:val="0022397F"/>
    <w:rsid w:val="00226123"/>
    <w:rsid w:val="002271D1"/>
    <w:rsid w:val="00227879"/>
    <w:rsid w:val="002322C6"/>
    <w:rsid w:val="00242009"/>
    <w:rsid w:val="00245382"/>
    <w:rsid w:val="0025121D"/>
    <w:rsid w:val="00251466"/>
    <w:rsid w:val="0025600A"/>
    <w:rsid w:val="0027061A"/>
    <w:rsid w:val="002771F9"/>
    <w:rsid w:val="0029096E"/>
    <w:rsid w:val="00296D4F"/>
    <w:rsid w:val="002A1846"/>
    <w:rsid w:val="002A33B1"/>
    <w:rsid w:val="002A41DA"/>
    <w:rsid w:val="002B00BA"/>
    <w:rsid w:val="002B1960"/>
    <w:rsid w:val="002B26D0"/>
    <w:rsid w:val="002C50D4"/>
    <w:rsid w:val="002C6535"/>
    <w:rsid w:val="002C6F23"/>
    <w:rsid w:val="002D3A70"/>
    <w:rsid w:val="002E18A4"/>
    <w:rsid w:val="002F2A64"/>
    <w:rsid w:val="002F33DB"/>
    <w:rsid w:val="00303225"/>
    <w:rsid w:val="00304F5B"/>
    <w:rsid w:val="00326323"/>
    <w:rsid w:val="00335D85"/>
    <w:rsid w:val="00341CC6"/>
    <w:rsid w:val="003449E4"/>
    <w:rsid w:val="00350DC6"/>
    <w:rsid w:val="003638EB"/>
    <w:rsid w:val="00364A11"/>
    <w:rsid w:val="00372D89"/>
    <w:rsid w:val="00377886"/>
    <w:rsid w:val="00382054"/>
    <w:rsid w:val="0038256E"/>
    <w:rsid w:val="00383776"/>
    <w:rsid w:val="003908BF"/>
    <w:rsid w:val="003A01A7"/>
    <w:rsid w:val="003B0D70"/>
    <w:rsid w:val="003D29B9"/>
    <w:rsid w:val="003D3253"/>
    <w:rsid w:val="003F0931"/>
    <w:rsid w:val="003F1750"/>
    <w:rsid w:val="003F1DF8"/>
    <w:rsid w:val="003F34D0"/>
    <w:rsid w:val="003F454F"/>
    <w:rsid w:val="00401FEF"/>
    <w:rsid w:val="00402D55"/>
    <w:rsid w:val="00402E59"/>
    <w:rsid w:val="00410578"/>
    <w:rsid w:val="00410836"/>
    <w:rsid w:val="004149D2"/>
    <w:rsid w:val="00415FEB"/>
    <w:rsid w:val="004231B9"/>
    <w:rsid w:val="00425590"/>
    <w:rsid w:val="00432D23"/>
    <w:rsid w:val="00433A29"/>
    <w:rsid w:val="00433E69"/>
    <w:rsid w:val="00434F9C"/>
    <w:rsid w:val="004410CD"/>
    <w:rsid w:val="00452B2C"/>
    <w:rsid w:val="0045367E"/>
    <w:rsid w:val="00455EA3"/>
    <w:rsid w:val="00456497"/>
    <w:rsid w:val="00457D08"/>
    <w:rsid w:val="00462062"/>
    <w:rsid w:val="00464AF8"/>
    <w:rsid w:val="00465F94"/>
    <w:rsid w:val="004719F9"/>
    <w:rsid w:val="00472571"/>
    <w:rsid w:val="00472930"/>
    <w:rsid w:val="00480A1D"/>
    <w:rsid w:val="00485ABB"/>
    <w:rsid w:val="004867F7"/>
    <w:rsid w:val="00496087"/>
    <w:rsid w:val="004A07EE"/>
    <w:rsid w:val="004A17F4"/>
    <w:rsid w:val="004B7162"/>
    <w:rsid w:val="004B7CE3"/>
    <w:rsid w:val="004C22ED"/>
    <w:rsid w:val="004C2E75"/>
    <w:rsid w:val="004C3864"/>
    <w:rsid w:val="004C4A55"/>
    <w:rsid w:val="004C63F9"/>
    <w:rsid w:val="004D3A77"/>
    <w:rsid w:val="004D62F6"/>
    <w:rsid w:val="004E0AA7"/>
    <w:rsid w:val="004E0DA0"/>
    <w:rsid w:val="004E2DEA"/>
    <w:rsid w:val="004E385F"/>
    <w:rsid w:val="004E6AF5"/>
    <w:rsid w:val="004E790A"/>
    <w:rsid w:val="004F175A"/>
    <w:rsid w:val="004F4B03"/>
    <w:rsid w:val="004F53A8"/>
    <w:rsid w:val="0050094F"/>
    <w:rsid w:val="0050260E"/>
    <w:rsid w:val="00505F7F"/>
    <w:rsid w:val="00506257"/>
    <w:rsid w:val="0051051E"/>
    <w:rsid w:val="00512E0A"/>
    <w:rsid w:val="00520A61"/>
    <w:rsid w:val="00523233"/>
    <w:rsid w:val="00524F3C"/>
    <w:rsid w:val="00524FA1"/>
    <w:rsid w:val="00531EFB"/>
    <w:rsid w:val="0053429F"/>
    <w:rsid w:val="00534D71"/>
    <w:rsid w:val="00535EAE"/>
    <w:rsid w:val="0053616A"/>
    <w:rsid w:val="00536945"/>
    <w:rsid w:val="005371C6"/>
    <w:rsid w:val="005405F2"/>
    <w:rsid w:val="00540636"/>
    <w:rsid w:val="00540764"/>
    <w:rsid w:val="005412DA"/>
    <w:rsid w:val="0054200E"/>
    <w:rsid w:val="005429F3"/>
    <w:rsid w:val="0054327E"/>
    <w:rsid w:val="00545197"/>
    <w:rsid w:val="00554259"/>
    <w:rsid w:val="005555C2"/>
    <w:rsid w:val="00555A97"/>
    <w:rsid w:val="00555FF7"/>
    <w:rsid w:val="0055692F"/>
    <w:rsid w:val="005576DF"/>
    <w:rsid w:val="00557701"/>
    <w:rsid w:val="00560406"/>
    <w:rsid w:val="00565A0A"/>
    <w:rsid w:val="005679B3"/>
    <w:rsid w:val="0057511D"/>
    <w:rsid w:val="005766CA"/>
    <w:rsid w:val="00576ADC"/>
    <w:rsid w:val="0058529A"/>
    <w:rsid w:val="00585D74"/>
    <w:rsid w:val="0059270D"/>
    <w:rsid w:val="00592C12"/>
    <w:rsid w:val="005939A3"/>
    <w:rsid w:val="0059404E"/>
    <w:rsid w:val="00596C04"/>
    <w:rsid w:val="005A5321"/>
    <w:rsid w:val="005B0DB2"/>
    <w:rsid w:val="005B58B8"/>
    <w:rsid w:val="005D3751"/>
    <w:rsid w:val="005E7192"/>
    <w:rsid w:val="0060069E"/>
    <w:rsid w:val="00600730"/>
    <w:rsid w:val="00600C0E"/>
    <w:rsid w:val="00601547"/>
    <w:rsid w:val="00606AFD"/>
    <w:rsid w:val="006073BF"/>
    <w:rsid w:val="0061470B"/>
    <w:rsid w:val="00614E5E"/>
    <w:rsid w:val="0062523A"/>
    <w:rsid w:val="006317D4"/>
    <w:rsid w:val="00631D3C"/>
    <w:rsid w:val="006412EF"/>
    <w:rsid w:val="00642C68"/>
    <w:rsid w:val="00645C7D"/>
    <w:rsid w:val="00650783"/>
    <w:rsid w:val="006565C8"/>
    <w:rsid w:val="00660015"/>
    <w:rsid w:val="00674C3C"/>
    <w:rsid w:val="00676D39"/>
    <w:rsid w:val="0068073C"/>
    <w:rsid w:val="00683833"/>
    <w:rsid w:val="006840B3"/>
    <w:rsid w:val="00684FDA"/>
    <w:rsid w:val="006A34EC"/>
    <w:rsid w:val="006A4FBE"/>
    <w:rsid w:val="006A54E5"/>
    <w:rsid w:val="006B6249"/>
    <w:rsid w:val="006C1CF0"/>
    <w:rsid w:val="006C2062"/>
    <w:rsid w:val="006D27B9"/>
    <w:rsid w:val="006D37C8"/>
    <w:rsid w:val="006E2003"/>
    <w:rsid w:val="006E6B54"/>
    <w:rsid w:val="006E6E51"/>
    <w:rsid w:val="006F28BA"/>
    <w:rsid w:val="006F65A3"/>
    <w:rsid w:val="007017E3"/>
    <w:rsid w:val="00722886"/>
    <w:rsid w:val="00724BA0"/>
    <w:rsid w:val="00731505"/>
    <w:rsid w:val="00732D1F"/>
    <w:rsid w:val="00735F19"/>
    <w:rsid w:val="00736FA9"/>
    <w:rsid w:val="0074103B"/>
    <w:rsid w:val="0074221D"/>
    <w:rsid w:val="00742A41"/>
    <w:rsid w:val="00745AF7"/>
    <w:rsid w:val="00751B3E"/>
    <w:rsid w:val="00752D99"/>
    <w:rsid w:val="007554E3"/>
    <w:rsid w:val="00756805"/>
    <w:rsid w:val="007606E4"/>
    <w:rsid w:val="00760DBB"/>
    <w:rsid w:val="0076718C"/>
    <w:rsid w:val="00771F8C"/>
    <w:rsid w:val="00777944"/>
    <w:rsid w:val="00792C41"/>
    <w:rsid w:val="007A3969"/>
    <w:rsid w:val="007A5D56"/>
    <w:rsid w:val="007B37C5"/>
    <w:rsid w:val="007B4369"/>
    <w:rsid w:val="007B6A18"/>
    <w:rsid w:val="007C0075"/>
    <w:rsid w:val="007C1759"/>
    <w:rsid w:val="007C4BAB"/>
    <w:rsid w:val="007C60F4"/>
    <w:rsid w:val="007C6F63"/>
    <w:rsid w:val="007D680E"/>
    <w:rsid w:val="007D6963"/>
    <w:rsid w:val="007D7885"/>
    <w:rsid w:val="007E003B"/>
    <w:rsid w:val="007E1067"/>
    <w:rsid w:val="007E3DC6"/>
    <w:rsid w:val="007E49D8"/>
    <w:rsid w:val="007E7C31"/>
    <w:rsid w:val="007F44B9"/>
    <w:rsid w:val="007F7592"/>
    <w:rsid w:val="00800D7F"/>
    <w:rsid w:val="00801885"/>
    <w:rsid w:val="00803AF4"/>
    <w:rsid w:val="00804A43"/>
    <w:rsid w:val="00812717"/>
    <w:rsid w:val="008135CE"/>
    <w:rsid w:val="008210B1"/>
    <w:rsid w:val="008252B1"/>
    <w:rsid w:val="00835043"/>
    <w:rsid w:val="00836EE0"/>
    <w:rsid w:val="00837EBC"/>
    <w:rsid w:val="00840AA1"/>
    <w:rsid w:val="00841332"/>
    <w:rsid w:val="00842E08"/>
    <w:rsid w:val="0084484C"/>
    <w:rsid w:val="008476A4"/>
    <w:rsid w:val="00852F45"/>
    <w:rsid w:val="0085328E"/>
    <w:rsid w:val="00870649"/>
    <w:rsid w:val="00873280"/>
    <w:rsid w:val="008753B4"/>
    <w:rsid w:val="0087641F"/>
    <w:rsid w:val="00882DD9"/>
    <w:rsid w:val="00884E23"/>
    <w:rsid w:val="008909FC"/>
    <w:rsid w:val="008943E9"/>
    <w:rsid w:val="008950B7"/>
    <w:rsid w:val="008A6BB3"/>
    <w:rsid w:val="008A6DB8"/>
    <w:rsid w:val="008B2B1B"/>
    <w:rsid w:val="008B48FA"/>
    <w:rsid w:val="008C2F40"/>
    <w:rsid w:val="008C6E11"/>
    <w:rsid w:val="008D18F0"/>
    <w:rsid w:val="008D5741"/>
    <w:rsid w:val="008D7411"/>
    <w:rsid w:val="008E0685"/>
    <w:rsid w:val="008E1EB4"/>
    <w:rsid w:val="008E224C"/>
    <w:rsid w:val="008E3BC4"/>
    <w:rsid w:val="008E68A2"/>
    <w:rsid w:val="008F535B"/>
    <w:rsid w:val="009013E4"/>
    <w:rsid w:val="0091086B"/>
    <w:rsid w:val="009111D9"/>
    <w:rsid w:val="00911EBA"/>
    <w:rsid w:val="009140F6"/>
    <w:rsid w:val="00921DF2"/>
    <w:rsid w:val="0092324F"/>
    <w:rsid w:val="009321F9"/>
    <w:rsid w:val="009410F8"/>
    <w:rsid w:val="009510A8"/>
    <w:rsid w:val="00951A34"/>
    <w:rsid w:val="00954CE3"/>
    <w:rsid w:val="0095552C"/>
    <w:rsid w:val="0095609E"/>
    <w:rsid w:val="009572B5"/>
    <w:rsid w:val="00960200"/>
    <w:rsid w:val="00962864"/>
    <w:rsid w:val="00963363"/>
    <w:rsid w:val="00964E70"/>
    <w:rsid w:val="009739A4"/>
    <w:rsid w:val="009758E3"/>
    <w:rsid w:val="009771C0"/>
    <w:rsid w:val="0098153E"/>
    <w:rsid w:val="009826A8"/>
    <w:rsid w:val="00983275"/>
    <w:rsid w:val="00991C9E"/>
    <w:rsid w:val="009928C9"/>
    <w:rsid w:val="009946CE"/>
    <w:rsid w:val="009A5369"/>
    <w:rsid w:val="009A6904"/>
    <w:rsid w:val="009B455B"/>
    <w:rsid w:val="009C1123"/>
    <w:rsid w:val="009C2EE3"/>
    <w:rsid w:val="009C40E9"/>
    <w:rsid w:val="009C4304"/>
    <w:rsid w:val="009C77CF"/>
    <w:rsid w:val="009D0699"/>
    <w:rsid w:val="009D0A9F"/>
    <w:rsid w:val="009D3845"/>
    <w:rsid w:val="009D3DA7"/>
    <w:rsid w:val="009D60F0"/>
    <w:rsid w:val="009E4107"/>
    <w:rsid w:val="009E665E"/>
    <w:rsid w:val="009F125E"/>
    <w:rsid w:val="009F1B8D"/>
    <w:rsid w:val="009F340A"/>
    <w:rsid w:val="009F6E6B"/>
    <w:rsid w:val="00A032EE"/>
    <w:rsid w:val="00A122CC"/>
    <w:rsid w:val="00A132C8"/>
    <w:rsid w:val="00A24F78"/>
    <w:rsid w:val="00A25056"/>
    <w:rsid w:val="00A41646"/>
    <w:rsid w:val="00A45741"/>
    <w:rsid w:val="00A46B53"/>
    <w:rsid w:val="00A50ADF"/>
    <w:rsid w:val="00A514FE"/>
    <w:rsid w:val="00A55E38"/>
    <w:rsid w:val="00A5646C"/>
    <w:rsid w:val="00A60B60"/>
    <w:rsid w:val="00A64D2B"/>
    <w:rsid w:val="00A764A4"/>
    <w:rsid w:val="00A93865"/>
    <w:rsid w:val="00AA2868"/>
    <w:rsid w:val="00AA2DE1"/>
    <w:rsid w:val="00AA457C"/>
    <w:rsid w:val="00AA605C"/>
    <w:rsid w:val="00AB0513"/>
    <w:rsid w:val="00AB6A29"/>
    <w:rsid w:val="00AB7011"/>
    <w:rsid w:val="00AD0AF3"/>
    <w:rsid w:val="00AD1332"/>
    <w:rsid w:val="00AD5A32"/>
    <w:rsid w:val="00AD6BC4"/>
    <w:rsid w:val="00AE227D"/>
    <w:rsid w:val="00AE310B"/>
    <w:rsid w:val="00AF2D81"/>
    <w:rsid w:val="00AF40D2"/>
    <w:rsid w:val="00AF4A14"/>
    <w:rsid w:val="00B05451"/>
    <w:rsid w:val="00B06F8C"/>
    <w:rsid w:val="00B11439"/>
    <w:rsid w:val="00B128CB"/>
    <w:rsid w:val="00B14038"/>
    <w:rsid w:val="00B17464"/>
    <w:rsid w:val="00B20E9E"/>
    <w:rsid w:val="00B24517"/>
    <w:rsid w:val="00B314B1"/>
    <w:rsid w:val="00B359D0"/>
    <w:rsid w:val="00B44FBD"/>
    <w:rsid w:val="00B47821"/>
    <w:rsid w:val="00B47E9B"/>
    <w:rsid w:val="00B50297"/>
    <w:rsid w:val="00B6146E"/>
    <w:rsid w:val="00B66C80"/>
    <w:rsid w:val="00B710BD"/>
    <w:rsid w:val="00B74CC6"/>
    <w:rsid w:val="00B77DBC"/>
    <w:rsid w:val="00B83D34"/>
    <w:rsid w:val="00B84E27"/>
    <w:rsid w:val="00B92688"/>
    <w:rsid w:val="00BA218B"/>
    <w:rsid w:val="00BB4BDF"/>
    <w:rsid w:val="00BC77A8"/>
    <w:rsid w:val="00BC7B65"/>
    <w:rsid w:val="00BD19F9"/>
    <w:rsid w:val="00BD2772"/>
    <w:rsid w:val="00BD2838"/>
    <w:rsid w:val="00BE08C1"/>
    <w:rsid w:val="00BE5D41"/>
    <w:rsid w:val="00BF17F2"/>
    <w:rsid w:val="00BF7C70"/>
    <w:rsid w:val="00C00984"/>
    <w:rsid w:val="00C025DF"/>
    <w:rsid w:val="00C0318E"/>
    <w:rsid w:val="00C10DB9"/>
    <w:rsid w:val="00C126FC"/>
    <w:rsid w:val="00C16D22"/>
    <w:rsid w:val="00C234CA"/>
    <w:rsid w:val="00C25ADF"/>
    <w:rsid w:val="00C270DB"/>
    <w:rsid w:val="00C30879"/>
    <w:rsid w:val="00C31998"/>
    <w:rsid w:val="00C36353"/>
    <w:rsid w:val="00C41FDD"/>
    <w:rsid w:val="00C4327B"/>
    <w:rsid w:val="00C53E6E"/>
    <w:rsid w:val="00C63761"/>
    <w:rsid w:val="00C66C19"/>
    <w:rsid w:val="00C7043F"/>
    <w:rsid w:val="00C710EE"/>
    <w:rsid w:val="00C71466"/>
    <w:rsid w:val="00C75A94"/>
    <w:rsid w:val="00CA4E96"/>
    <w:rsid w:val="00CB0F0C"/>
    <w:rsid w:val="00CC4E7D"/>
    <w:rsid w:val="00CC639E"/>
    <w:rsid w:val="00CC6821"/>
    <w:rsid w:val="00CD10CE"/>
    <w:rsid w:val="00CD7A86"/>
    <w:rsid w:val="00CE0839"/>
    <w:rsid w:val="00CE1B48"/>
    <w:rsid w:val="00CE1BFF"/>
    <w:rsid w:val="00CF24DE"/>
    <w:rsid w:val="00CF3D45"/>
    <w:rsid w:val="00CF5946"/>
    <w:rsid w:val="00D04E6D"/>
    <w:rsid w:val="00D1183C"/>
    <w:rsid w:val="00D15C71"/>
    <w:rsid w:val="00D20A0B"/>
    <w:rsid w:val="00D21AF5"/>
    <w:rsid w:val="00D22ADB"/>
    <w:rsid w:val="00D3374D"/>
    <w:rsid w:val="00D433F2"/>
    <w:rsid w:val="00D46369"/>
    <w:rsid w:val="00D4669E"/>
    <w:rsid w:val="00D53EAC"/>
    <w:rsid w:val="00D566DC"/>
    <w:rsid w:val="00D60745"/>
    <w:rsid w:val="00D60C5C"/>
    <w:rsid w:val="00D62630"/>
    <w:rsid w:val="00D65376"/>
    <w:rsid w:val="00D70634"/>
    <w:rsid w:val="00D72A14"/>
    <w:rsid w:val="00D83B37"/>
    <w:rsid w:val="00D90C82"/>
    <w:rsid w:val="00D97554"/>
    <w:rsid w:val="00D97909"/>
    <w:rsid w:val="00DA0B9B"/>
    <w:rsid w:val="00DA3A16"/>
    <w:rsid w:val="00DB2349"/>
    <w:rsid w:val="00DB5430"/>
    <w:rsid w:val="00DC6080"/>
    <w:rsid w:val="00DC68C4"/>
    <w:rsid w:val="00DD1221"/>
    <w:rsid w:val="00DD3F0E"/>
    <w:rsid w:val="00DD54F9"/>
    <w:rsid w:val="00DE31A7"/>
    <w:rsid w:val="00DF0293"/>
    <w:rsid w:val="00DF0F6A"/>
    <w:rsid w:val="00E03A56"/>
    <w:rsid w:val="00E06358"/>
    <w:rsid w:val="00E10EA8"/>
    <w:rsid w:val="00E12D9F"/>
    <w:rsid w:val="00E12FC1"/>
    <w:rsid w:val="00E14D87"/>
    <w:rsid w:val="00E16064"/>
    <w:rsid w:val="00E21567"/>
    <w:rsid w:val="00E21DE3"/>
    <w:rsid w:val="00E427DC"/>
    <w:rsid w:val="00E42C96"/>
    <w:rsid w:val="00E43146"/>
    <w:rsid w:val="00E438D5"/>
    <w:rsid w:val="00E47267"/>
    <w:rsid w:val="00E5514A"/>
    <w:rsid w:val="00E55299"/>
    <w:rsid w:val="00E60099"/>
    <w:rsid w:val="00E75022"/>
    <w:rsid w:val="00E75CC8"/>
    <w:rsid w:val="00E763DC"/>
    <w:rsid w:val="00E80299"/>
    <w:rsid w:val="00E851AD"/>
    <w:rsid w:val="00E9313F"/>
    <w:rsid w:val="00EA30FC"/>
    <w:rsid w:val="00EB19AD"/>
    <w:rsid w:val="00EB35C9"/>
    <w:rsid w:val="00EB52FD"/>
    <w:rsid w:val="00EC155C"/>
    <w:rsid w:val="00EC49A0"/>
    <w:rsid w:val="00EC7AA8"/>
    <w:rsid w:val="00ED02E4"/>
    <w:rsid w:val="00ED0D23"/>
    <w:rsid w:val="00ED6941"/>
    <w:rsid w:val="00EE7146"/>
    <w:rsid w:val="00EF270D"/>
    <w:rsid w:val="00EF6A14"/>
    <w:rsid w:val="00F00473"/>
    <w:rsid w:val="00F0105E"/>
    <w:rsid w:val="00F05BB0"/>
    <w:rsid w:val="00F07095"/>
    <w:rsid w:val="00F1761A"/>
    <w:rsid w:val="00F23274"/>
    <w:rsid w:val="00F2616B"/>
    <w:rsid w:val="00F314C8"/>
    <w:rsid w:val="00F33C58"/>
    <w:rsid w:val="00F61220"/>
    <w:rsid w:val="00F803D7"/>
    <w:rsid w:val="00F8265A"/>
    <w:rsid w:val="00F830BD"/>
    <w:rsid w:val="00F86D61"/>
    <w:rsid w:val="00FA4A81"/>
    <w:rsid w:val="00FA6F41"/>
    <w:rsid w:val="00FA7FB2"/>
    <w:rsid w:val="00FB0B42"/>
    <w:rsid w:val="00FB32B2"/>
    <w:rsid w:val="00FB57CD"/>
    <w:rsid w:val="00FB7166"/>
    <w:rsid w:val="00FC566A"/>
    <w:rsid w:val="00FC7924"/>
    <w:rsid w:val="00FD0F2D"/>
    <w:rsid w:val="00FD1A5D"/>
    <w:rsid w:val="00FD5C4B"/>
    <w:rsid w:val="00FF3D22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554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55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55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55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55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55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55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55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55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FC1"/>
  </w:style>
  <w:style w:type="paragraph" w:styleId="a5">
    <w:name w:val="footer"/>
    <w:basedOn w:val="a"/>
    <w:link w:val="a6"/>
    <w:uiPriority w:val="99"/>
    <w:unhideWhenUsed/>
    <w:rsid w:val="00E1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FC1"/>
  </w:style>
  <w:style w:type="character" w:styleId="a7">
    <w:name w:val="page number"/>
    <w:basedOn w:val="a0"/>
    <w:uiPriority w:val="99"/>
    <w:semiHidden/>
    <w:unhideWhenUsed/>
    <w:rsid w:val="00E12FC1"/>
  </w:style>
  <w:style w:type="paragraph" w:styleId="a8">
    <w:name w:val="Balloon Text"/>
    <w:basedOn w:val="a"/>
    <w:link w:val="a9"/>
    <w:uiPriority w:val="99"/>
    <w:semiHidden/>
    <w:unhideWhenUsed/>
    <w:rsid w:val="009F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E6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82D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2D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2D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D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2DD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93865"/>
    <w:pPr>
      <w:ind w:left="720"/>
      <w:contextualSpacing/>
    </w:pPr>
  </w:style>
  <w:style w:type="paragraph" w:styleId="af0">
    <w:name w:val="No Spacing"/>
    <w:uiPriority w:val="1"/>
    <w:qFormat/>
    <w:rsid w:val="00660015"/>
    <w:pPr>
      <w:spacing w:after="0" w:line="240" w:lineRule="auto"/>
    </w:pPr>
  </w:style>
  <w:style w:type="paragraph" w:styleId="af1">
    <w:name w:val="Body Text"/>
    <w:basedOn w:val="a"/>
    <w:link w:val="af2"/>
    <w:unhideWhenUsed/>
    <w:rsid w:val="005369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69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nhideWhenUsed/>
    <w:rsid w:val="0083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97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7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75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75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75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75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5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4">
    <w:name w:val="Обычный + 14 пт"/>
    <w:aliases w:val="По ширине,Междустр.интервал:  полуторный + Первая строка:  0,...,Базовый + 11 пт + не полужирный,Первая строка:  0,95 см"/>
    <w:basedOn w:val="a"/>
    <w:link w:val="140"/>
    <w:rsid w:val="002278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40">
    <w:name w:val="Обычный + 14 пт;По ширине;Междустр.интервал:  полуторный + Первая строка:  0;... Знак Знак"/>
    <w:link w:val="14"/>
    <w:rsid w:val="002278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Plain Text"/>
    <w:basedOn w:val="a"/>
    <w:link w:val="af5"/>
    <w:uiPriority w:val="99"/>
    <w:unhideWhenUsed/>
    <w:rsid w:val="00964E70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964E70"/>
    <w:rPr>
      <w:rFonts w:ascii="Calibri" w:hAnsi="Calibri"/>
      <w:szCs w:val="21"/>
    </w:rPr>
  </w:style>
  <w:style w:type="character" w:styleId="af6">
    <w:name w:val="Hyperlink"/>
    <w:rsid w:val="00026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554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55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55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55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55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55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55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55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55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FC1"/>
  </w:style>
  <w:style w:type="paragraph" w:styleId="a5">
    <w:name w:val="footer"/>
    <w:basedOn w:val="a"/>
    <w:link w:val="a6"/>
    <w:uiPriority w:val="99"/>
    <w:unhideWhenUsed/>
    <w:rsid w:val="00E1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FC1"/>
  </w:style>
  <w:style w:type="character" w:styleId="a7">
    <w:name w:val="page number"/>
    <w:basedOn w:val="a0"/>
    <w:uiPriority w:val="99"/>
    <w:semiHidden/>
    <w:unhideWhenUsed/>
    <w:rsid w:val="00E12FC1"/>
  </w:style>
  <w:style w:type="paragraph" w:styleId="a8">
    <w:name w:val="Balloon Text"/>
    <w:basedOn w:val="a"/>
    <w:link w:val="a9"/>
    <w:uiPriority w:val="99"/>
    <w:semiHidden/>
    <w:unhideWhenUsed/>
    <w:rsid w:val="009F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E6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82D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2D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2D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D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2DD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93865"/>
    <w:pPr>
      <w:ind w:left="720"/>
      <w:contextualSpacing/>
    </w:pPr>
  </w:style>
  <w:style w:type="paragraph" w:styleId="af0">
    <w:name w:val="No Spacing"/>
    <w:uiPriority w:val="1"/>
    <w:qFormat/>
    <w:rsid w:val="00660015"/>
    <w:pPr>
      <w:spacing w:after="0" w:line="240" w:lineRule="auto"/>
    </w:pPr>
  </w:style>
  <w:style w:type="paragraph" w:styleId="af1">
    <w:name w:val="Body Text"/>
    <w:basedOn w:val="a"/>
    <w:link w:val="af2"/>
    <w:unhideWhenUsed/>
    <w:rsid w:val="005369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69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nhideWhenUsed/>
    <w:rsid w:val="0083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97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7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75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75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75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75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5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4">
    <w:name w:val="Обычный + 14 пт"/>
    <w:aliases w:val="По ширине,Междустр.интервал:  полуторный + Первая строка:  0,...,Базовый + 11 пт + не полужирный,Первая строка:  0,95 см"/>
    <w:basedOn w:val="a"/>
    <w:link w:val="140"/>
    <w:rsid w:val="002278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40">
    <w:name w:val="Обычный + 14 пт;По ширине;Междустр.интервал:  полуторный + Первая строка:  0;... Знак Знак"/>
    <w:link w:val="14"/>
    <w:rsid w:val="002278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Plain Text"/>
    <w:basedOn w:val="a"/>
    <w:link w:val="af5"/>
    <w:uiPriority w:val="99"/>
    <w:unhideWhenUsed/>
    <w:rsid w:val="00964E70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964E70"/>
    <w:rPr>
      <w:rFonts w:ascii="Calibri" w:hAnsi="Calibri"/>
      <w:szCs w:val="21"/>
    </w:rPr>
  </w:style>
  <w:style w:type="character" w:styleId="af6">
    <w:name w:val="Hyperlink"/>
    <w:rsid w:val="0002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5879.0" TargetMode="External"/><Relationship Id="rId18" Type="http://schemas.openxmlformats.org/officeDocument/2006/relationships/hyperlink" Target="garantF1://71488992.1000" TargetMode="External"/><Relationship Id="rId26" Type="http://schemas.openxmlformats.org/officeDocument/2006/relationships/hyperlink" Target="garantF1://71488960.1000" TargetMode="External"/><Relationship Id="rId39" Type="http://schemas.openxmlformats.org/officeDocument/2006/relationships/hyperlink" Target="garantF1://70851956.3000" TargetMode="External"/><Relationship Id="rId21" Type="http://schemas.openxmlformats.org/officeDocument/2006/relationships/hyperlink" Target="garantF1://71486638.0" TargetMode="External"/><Relationship Id="rId34" Type="http://schemas.openxmlformats.org/officeDocument/2006/relationships/hyperlink" Target="garantF1://12081735.1000" TargetMode="External"/><Relationship Id="rId42" Type="http://schemas.openxmlformats.org/officeDocument/2006/relationships/hyperlink" Target="garantF1://12080849.2000" TargetMode="External"/><Relationship Id="rId47" Type="http://schemas.openxmlformats.org/officeDocument/2006/relationships/hyperlink" Target="garantF1://70851956.4430" TargetMode="External"/><Relationship Id="rId50" Type="http://schemas.openxmlformats.org/officeDocument/2006/relationships/hyperlink" Target="garantF1://70851956.2330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75589.0" TargetMode="External"/><Relationship Id="rId17" Type="http://schemas.openxmlformats.org/officeDocument/2006/relationships/hyperlink" Target="garantF1://71489050.0" TargetMode="External"/><Relationship Id="rId25" Type="http://schemas.openxmlformats.org/officeDocument/2006/relationships/hyperlink" Target="garantF1://71488960.0" TargetMode="External"/><Relationship Id="rId33" Type="http://schemas.openxmlformats.org/officeDocument/2006/relationships/hyperlink" Target="garantF1://12081735.2000" TargetMode="External"/><Relationship Id="rId38" Type="http://schemas.openxmlformats.org/officeDocument/2006/relationships/hyperlink" Target="garantF1://70851956.1000" TargetMode="External"/><Relationship Id="rId46" Type="http://schemas.openxmlformats.org/officeDocument/2006/relationships/hyperlink" Target="garantF1://7085195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489050.1000" TargetMode="External"/><Relationship Id="rId20" Type="http://schemas.openxmlformats.org/officeDocument/2006/relationships/hyperlink" Target="garantF1://71486638.1000" TargetMode="External"/><Relationship Id="rId29" Type="http://schemas.openxmlformats.org/officeDocument/2006/relationships/hyperlink" Target="garantF1://71488960.0" TargetMode="External"/><Relationship Id="rId41" Type="http://schemas.openxmlformats.org/officeDocument/2006/relationships/hyperlink" Target="garantF1://70003036.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03036.0" TargetMode="External"/><Relationship Id="rId24" Type="http://schemas.openxmlformats.org/officeDocument/2006/relationships/hyperlink" Target="garantF1://71488960.1000" TargetMode="External"/><Relationship Id="rId32" Type="http://schemas.openxmlformats.org/officeDocument/2006/relationships/hyperlink" Target="garantF1://12080849.0" TargetMode="External"/><Relationship Id="rId37" Type="http://schemas.openxmlformats.org/officeDocument/2006/relationships/hyperlink" Target="http://www.yamalfin.ru/images/stories/depfin/2018/prav_akty/prikaz_20180331_64.pdf" TargetMode="External"/><Relationship Id="rId40" Type="http://schemas.openxmlformats.org/officeDocument/2006/relationships/hyperlink" Target="garantF1://70851956.0" TargetMode="External"/><Relationship Id="rId45" Type="http://schemas.openxmlformats.org/officeDocument/2006/relationships/hyperlink" Target="garantF1://71486636.0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71486636.0" TargetMode="External"/><Relationship Id="rId23" Type="http://schemas.openxmlformats.org/officeDocument/2006/relationships/hyperlink" Target="garantF1://71488960.0" TargetMode="External"/><Relationship Id="rId28" Type="http://schemas.openxmlformats.org/officeDocument/2006/relationships/hyperlink" Target="garantF1://71488960.1000" TargetMode="External"/><Relationship Id="rId36" Type="http://schemas.openxmlformats.org/officeDocument/2006/relationships/hyperlink" Target="garantF1://70851956.0" TargetMode="External"/><Relationship Id="rId49" Type="http://schemas.openxmlformats.org/officeDocument/2006/relationships/hyperlink" Target="garantF1://70851956.444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71489050.0" TargetMode="External"/><Relationship Id="rId31" Type="http://schemas.openxmlformats.org/officeDocument/2006/relationships/hyperlink" Target="garantF1://12080849.1000" TargetMode="External"/><Relationship Id="rId44" Type="http://schemas.openxmlformats.org/officeDocument/2006/relationships/hyperlink" Target="garantF1://71486636.1000" TargetMode="External"/><Relationship Id="rId52" Type="http://schemas.openxmlformats.org/officeDocument/2006/relationships/hyperlink" Target="garantF1://70851956.23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71486636.1000" TargetMode="External"/><Relationship Id="rId22" Type="http://schemas.openxmlformats.org/officeDocument/2006/relationships/hyperlink" Target="garantF1://71488960.1000" TargetMode="External"/><Relationship Id="rId27" Type="http://schemas.openxmlformats.org/officeDocument/2006/relationships/hyperlink" Target="garantF1://71488960.0" TargetMode="External"/><Relationship Id="rId30" Type="http://schemas.openxmlformats.org/officeDocument/2006/relationships/hyperlink" Target="garantF1://12080849.2000" TargetMode="External"/><Relationship Id="rId35" Type="http://schemas.openxmlformats.org/officeDocument/2006/relationships/hyperlink" Target="garantF1://12081735.0" TargetMode="External"/><Relationship Id="rId43" Type="http://schemas.openxmlformats.org/officeDocument/2006/relationships/hyperlink" Target="garantF1://12080849.0" TargetMode="External"/><Relationship Id="rId48" Type="http://schemas.openxmlformats.org/officeDocument/2006/relationships/hyperlink" Target="garantF1://70851956.4440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garantF1://70851956.44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15BC-1CF0-4E00-A3F2-87F6E29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Елена Александровна</dc:creator>
  <cp:lastModifiedBy>kylakova</cp:lastModifiedBy>
  <cp:revision>23</cp:revision>
  <cp:lastPrinted>2019-01-16T07:54:00Z</cp:lastPrinted>
  <dcterms:created xsi:type="dcterms:W3CDTF">2019-01-15T07:11:00Z</dcterms:created>
  <dcterms:modified xsi:type="dcterms:W3CDTF">2019-01-16T08:37:00Z</dcterms:modified>
</cp:coreProperties>
</file>